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ATA/969/2016 vom 15. November 2016</w:t>
      </w:r>
    </w:p>
    <w:p>
      <w:r>
        <w:t>GE Cour de justice, 2016-11-15, FR</w:t>
      </w:r>
    </w:p>
    <w:p>
      <w:r>
        <w:rPr>
          <w:b/>
        </w:rPr>
        <w:t xml:space="preserve">Quelle: </w:t>
      </w:r>
      <w:r>
        <w:t>https://mcp.opencaselaw.ch/entscheid/ge_gerichte_ATA_969_2016</w:t>
      </w:r>
    </w:p>
    <w:p>
      <w:r>
        <w:t>FR: GE_GERICHTE ATA/969/2016 du 15 novembre 2016</w:t>
      </w:r>
    </w:p>
    <w:p>
      <w:r>
        <w:t>IT: GE_GERICHTE ATA/969/2016 del 15 novembre 2016</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2</w:t>
      </w:r>
    </w:p>
    <w:p>
      <w:r>
        <w:t>Conformément à l’art. 61 LPA, le recours peut être formé : a) pour violation du droit y compris l’excès et l’abus du pouvoir d’appréciation ; b) pour constatation inexacte ou incomplète des faits pertinents (al. 1) ; les juridictions</w:t>
      </w:r>
    </w:p>
    <w:p>
      <w:r>
        <w:t>- 5/10 - A/3136/2015 administratives n’ont pas compétence pour apprécier l’opportunité de la décision attaquée, sauf exception prévue par la loi (al. 2).</w:t>
      </w:r>
    </w:p>
    <w:p>
      <w:r>
        <w:rPr>
          <w:b/>
        </w:rPr>
        <w:t>E. 3</w:t>
      </w:r>
    </w:p>
    <w:p>
      <w:r>
        <w:t>Le recourant demande son audition et celle de témoins.</w:t>
      </w:r>
    </w:p>
    <w:p>
      <w:r>
        <w:t>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1er septembre 2015 consid. 4.1 ; 2C_840/2014 du 4 mars 2015 consid. 3.2) ou si le fait à établir résulte déjà des constatations ressortant du dossier (ATF 136 I 229 consid. 5.2 ; 134 I 140 consid. 5.3 ; arrêt du Tribunal fédéral 8C_244/2014 du 17 mars 2015 consid. 3.2 ; ATA/5/2015 du</w:t>
      </w:r>
    </w:p>
    <w:p>
      <w:r>
        <w:rPr>
          <w:b/>
        </w:rPr>
        <w:t>E. 6</w:t>
      </w:r>
    </w:p>
    <w:p>
      <w:r>
        <w:t>janvier 2015 ; ATA/118/2014 du 25 février 2014).</w:t>
      </w:r>
    </w:p>
    <w:p>
      <w:r>
        <w:t>En l’espèce, le recourant a eu à plusieurs reprises l’occasion de s’exprimer par écrit durant la procédure devant la chambre de céans et devant le TAPI, d’exposer son point de vue et de produire toutes les pièces qu’il estimait utiles à l’appui de ses allégués. Son audition ne saurait apporter d’éléments supplémentaires indispensables permettant à la chambre de céans de trancher le litige.</w:t>
      </w:r>
    </w:p>
    <w:p>
      <w:r>
        <w:t>De même, on ne voit pas ce que l’audition de témoins pourrait modifier à l’issue de la procédure.</w:t>
      </w:r>
    </w:p>
    <w:p>
      <w:r>
        <w:t>Dès lors, la chambre de céans ne donnera pas suite aux demandes d’auditions formulées par le recourant. 4. a. La loi fédérale sur les étrangers du 16 décembre 2005 (LEtr - RS 142.20) et ses ordonnances d'exécution, en particulier l’ordonnance relative à l'admission, au</w:t>
      </w:r>
    </w:p>
    <w:p>
      <w:r>
        <w:t>- 6/10 - A/3136/2015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c.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1er juin 2016, ch. 5.1.2 p. 197, dont la teneur était identique lors du prononcé de la décision attaquée).</w:t>
      </w:r>
    </w:p>
    <w:p>
      <w:r>
        <w:t>d.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(ATA/1304/2015 du 8 décembre 2015 consid. 5 ; ATA/1010/2015 précité consid. 9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e. Aux termes de l’art. 23 al. 3 OASA, une formation ou un perfectionnement est en principe admis pour une durée maximale de huit ans ; des dérogations</w:t>
      </w:r>
    </w:p>
    <w:p>
      <w:r>
        <w:t>- 7/10 - A/3136/2015 peuvent être accordées en vue d'une formation ou d'un perfectionnement visant un but précis.</w:t>
      </w:r>
    </w:p>
    <w:p>
      <w:r>
        <w:t>f.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w:t>
      </w:r>
    </w:p>
    <w:p>
      <w:r>
        <w:t>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Tribunal administratif fédéral C-6783/2009 du 22 février 2011 consid. 6). Un changement d’orientation en cours de formation ou de perfectionnement ou une formation supplémentaire ne peuvent être autorisés que dans des cas d’exception suffisamment motivés (SEM, op. cit., ch. 5.1.2 p. 199 ; aussi ATA/785/2014 du</w:t>
      </w:r>
    </w:p>
    <w:p>
      <w:r>
        <w:rPr>
          <w:b/>
        </w:rPr>
        <w:t>E. 7</w:t>
      </w:r>
    </w:p>
    <w:p>
      <w:r>
        <w:t>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