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ATA/968/2020 vom 29. September 2020</w:t>
      </w:r>
    </w:p>
    <w:p>
      <w:r>
        <w:t>GE Cour de justice, 2020-09-29, FR</w:t>
      </w:r>
    </w:p>
    <w:p>
      <w:r>
        <w:rPr>
          <w:b/>
        </w:rPr>
        <w:t xml:space="preserve">Quelle: </w:t>
      </w:r>
      <w:r>
        <w:t>https://mcp.opencaselaw.ch/entscheid/ge_gerichte_ATA_968_2020</w:t>
      </w:r>
    </w:p>
    <w:p>
      <w:r>
        <w:t>FR: GE_GERICHTE ATA/968/2020 du 29 septembre 2020</w:t>
      </w:r>
    </w:p>
    <w:p>
      <w:r>
        <w:t>IT: GE_GERICHTE ATA/968/2020 del 29 settembre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le bien-fondé de l’amende administrative infligée par le DT à la recourante et confirmée par le jugement attaqué.</w:t>
      </w:r>
    </w:p>
    <w:p>
      <w:r>
        <w:t>La chambre de céans avait statué que l’autorisation de construire du 25 mars 2015, qui n’avait pas été contestée, était devenue définitive et exécutoire, que l’ouverture du chantier avait été annoncée et que certains éléments de ce dernier, soit le merlon et le portail d’entrée, avaient effectivement été réalisés, si bien que l’autorisation avait été partiellement exécutée, de sorte que l’exigence, par le DT, du respect de la condition du chiffre 7, qui avait force de chose décidée, ne prêtait pas le flanc à la critique, et n’était pas nulle comme le soutenait alors la recourante (ATA/1111/2017 précité consid. 6). 3)</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4)</w:t>
      </w:r>
    </w:p>
    <w:p>
      <w:r>
        <w:t>La recourante se plaint d’une violation de son droit d’être entendue car le TAPI ne lui a pas accordé les mesures d’instruction sollicitées, notamment ordonner au DT la production du dossier de la parcelle n° 5______.</w:t>
      </w:r>
    </w:p>
    <w:p>
      <w:r>
        <w:t>Devant la chambre de céans, la recourante sollicite qu’il soit ordonné au DT de produire ce même dossier.</w:t>
      </w:r>
    </w:p>
    <w:p>
      <w:r>
        <w:t>- 8/14 - A/2290/2019</w:t>
      </w:r>
    </w:p>
    <w:p>
      <w:r>
        <w:t>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arrêt du Tribunal fédéral 2D_42/2019 du 25 mars 2020 consid. 3.1). Le droit d’être entendu ne comprend pas le droit d’obtenir l’audition de témoins (ATF 130 II 425 consid. 2.1 ; ATA/1001/2018 du 25 septembre 2018 consid. 2a) et n’implique pas non plus une audition personnelle de l’intéressé, celui-ci devant simplement disposer d’une occasion de se déterminer sur les éléments propres à influer sur l’issue de la cause (ATF 140 I 68 consid. 9.6).</w:t>
      </w:r>
    </w:p>
    <w:p>
      <w:r>
        <w:t>La réparation d'un vice de procédure en instance de recours et, notamment, du droit d'être entendu, n'est possible que lorsque l'autorité dispose du même pouvoir d'examen que l'autorité inférieure (ATF 137 I 195 consid. 2.3.2 ; 133 I 201 consid. 2.2).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 132 V 387 consid. 5.1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(ATA/801/2014 du 14 octobre 2014).</w:t>
      </w:r>
    </w:p>
    <w:p>
      <w:r>
        <w:t>b. En l’espèce, le jugement attaqué ne statue pas sur la requête de la recourante que soit produit le dossier de la parcelle n° 5______.</w:t>
      </w:r>
    </w:p>
    <w:p>
      <w:r>
        <w:t>La recourante et le DT ont toutefois fourni devant le TAPI déjà toutes les informations nécessaires pour trancher le grief de violation du principe d’égalité de traitement, à l’appui duquel est réclamée la production du dossier de la parcelle n° 5______, grief que le TAPI a rejeté.</w:t>
      </w:r>
    </w:p>
    <w:p>
      <w:r>
        <w:t>La chambre de céans considère dès lors que le TAPI, puis elle-même, disposaient d’un dossier complet, et ne donnera pas suite à la demande d’ordonner</w:t>
      </w:r>
    </w:p>
    <w:p>
      <w:r>
        <w:t>- 9/14 - A/2290/2019 au DT la production de ce dossier, étant précisé que l’éventuelle violation par le TAPI du droit d’être entendue de la recourante est réparée par la présente procédure. 5)</w:t>
      </w:r>
    </w:p>
    <w:p>
      <w:r>
        <w:t>Dans un second grief, la recourante se plaint du caractère illégal de la sanction, faute de base légale prévoyant l’insertion dans une autorisation de construire d’une clause accessoire.</w:t>
      </w:r>
    </w:p>
    <w:p>
      <w:r>
        <w:t>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La poursuite et la sanction administrative se prescrivent par sept ans (al. 5).</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w:t>
      </w:r>
    </w:p>
    <w:p>
      <w:r>
        <w:t>L'autorité qui prononce une mesure administrative ayant le caractère d'une sanction doit également faire application des règles contenues aux art. 47 ss CP</w:t>
      </w:r>
    </w:p>
    <w:p>
      <w:r>
        <w:t>- 10/14 - A/2290/2019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w:t>
      </w:r>
    </w:p>
    <w:p>
      <w:r>
        <w:t>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(ATA/440/2019 précité ; ATA/19/2018 du 9 janvier 2018 confirmé par arrêt du Tribunal fédéral 1C_80/2018 du 23 mai 2019 ; ATA/558/2013 du 27 août 2013).</w:t>
      </w:r>
    </w:p>
    <w:p>
      <w:r>
        <w:t>b. En l’espèce, l’amende a été infligée en raison de la violation du chiffre 7 de l’autorisation, imposant l'inscription d’une servitude de passage avant l’ouverture du chantier. La recourante ne conteste pas avoir ouvert le chantier sans avoir préalablement obtenu l’inscription de la servitude.</w:t>
      </w:r>
    </w:p>
    <w:p>
      <w:r>
        <w:t>La loi prévoit que la délivrance d’une autorisation puisse être subordonnée à des conditions (p. ex. art. 15 al. 3, 16, 20, 23 al. 4, 24 al. 2, 27 al. 4, 88 LCI) et elle prévoit même expressément que l’autorisation de construire est subordonnée à la remise d’un extrait du RF attestant que l’inscription d’une servitude a été opérée (art. 46 al. 2 et 71 al. 2 LCI).</w:t>
      </w:r>
    </w:p>
    <w:p>
      <w:r>
        <w:t>La loi prévoit par ailleurs expressément que des conditions assortissent l’autorisation : l’attestation de conformité certifie par exemple que la construction ou installation est conforme à l’autorisation de construire et aux conditions assortissant celle-ci (art. 7 al. 2 LCI) ; l’inscription de restrictions au RF peut être ordonnée pour assurer le respect des conditions dont l’autorisation est assortie (art. 153 al. 2 LCI).</w:t>
      </w:r>
    </w:p>
    <w:p>
      <w:r>
        <w:t>La chambre de céans a pour sa part admis que le non-respect d’une condition posée par le service du feu, incorporée dans l’autorisation de construire, et devant être réalisée au jour de l’ouverture du site, constituait une violation de l’art. 137 al. 1 LCI fondant le prononcé d’une amende (ATA/886/2014 du 11 novembre 2014 consid. 3). Dans le précédent arrêt au sujet de la présente espèce, la chambre de céans avait jugé la condition du chiffre 7 conforme à la loi (ATA/1111/2017 précité consid. 6).</w:t>
      </w:r>
    </w:p>
    <w:p>
      <w:r>
        <w:t>Il y a ainsi lieu de retenir qu’en l’espèce l’autorisation incorporait valablement la condition d’avoir fait inscrire une servitude de passage avant</w:t>
      </w:r>
    </w:p>
    <w:p>
      <w:r>
        <w:t>- 11/14 - A/2290/2019 l’ouverture du chantier, et que la violation de cette condition correspondait à la violation de l’autorisation incorporant celle-ci, et tombe partant sous le coup de l’art. 137 al. 1 LCI.</w:t>
      </w:r>
    </w:p>
    <w:p>
      <w:r>
        <w:t>Sur ce point, la décision du DT et le jugement du TAPI sont exempts de critiques.</w:t>
      </w:r>
    </w:p>
    <w:p>
      <w:r>
        <w:t>Mal fondé, le grief de défaut de base légale sera écarté. 6)</w:t>
      </w:r>
    </w:p>
    <w:p>
      <w:r>
        <w:t>Dans un troisième grief, la recourante se plaint de l’absence de faute, car elle avait objectivement été dans l’impossibilité de faire inscrire la servitude, et ne pouvait donc avoir commis un délit par omission, le DT lui ayant écrit le 28 octobre 2019 que des démarches avaient été entreprises auprès de l’État, auquel il incombait par ailleurs de prendre l’initiative des négociations.</w:t>
      </w:r>
    </w:p>
    <w:p>
      <w:r>
        <w:t>a. Le prononcé d’une amende administrative suppose la commission d’une faute.</w:t>
      </w:r>
    </w:p>
    <w:p>
      <w:r>
        <w:t>b. En l’espèce, l’exigence d’inscription d’une servitude préalablement à l’ouverture du chantier vise à s’assurer que la propriétaire restreindra effectivement son droit de propriété avant de procéder aux premiers aménagements. Le DT peut d’ailleurs ordonner la suspension des travaux si l’état d’une construction, d’une installation ou d’une autre chose n’est pas conforme aux prescriptions de la LCI, des règlements qu’elle prévoit ou des autorisations délivrées en application de ces dispositions légales ou réglementaires (art. 129 let. a et 130 LCI).</w:t>
      </w:r>
    </w:p>
    <w:p>
      <w:r>
        <w:t>Le respect des conditions assortissant l’autorisation incombe au bénéficiaire. En l’espèce, il appartenait à la recourante de prendre toute mesure utile pour faire inscrire au RF la servitude de passage, à commencer par l’ouverture de pourparlers avec l’État à ces fins, qu’elle n’allègue même pas avoir entreprise.</w:t>
      </w:r>
    </w:p>
    <w:p>
      <w:r>
        <w:t>La recourante ne pouvait donc prétendre imputer à l’État une initiative qui lui incombait à teneur de l’autorisation dont elle était bénéficiaire et qu’elle n’avait pas contestée. La décision du DT et le jugement du TAPI sont sur ce point exempts de critiques.</w:t>
      </w:r>
    </w:p>
    <w:p>
      <w:r>
        <w:t>Le grief sera écarté. 7)</w:t>
      </w:r>
    </w:p>
    <w:p>
      <w:r>
        <w:t>Dans un quatrième grief, la recourante se plaint que la sanction violait le principe d’égalité de traitement, car faute de preuve du contraire, tout portait à croire que la parcelle voisine n’avait pas fait inscrire de servitude alors qu’elle y était obligée et n’avait pas été poursuivie de ce fait.</w:t>
      </w:r>
    </w:p>
    <w:p>
      <w:r>
        <w:t>a. Selon la jurisprudence, un justiciable ne saurait en principe se prétendre victime d’une inégalité de traitement au sens de l’art. 8 Cst. lorsque la loi est</w:t>
      </w:r>
    </w:p>
    <w:p>
      <w:r>
        <w:t>- 12/14 - A/2290/2019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Andreas AUER/Giorgio MALINVERNI/ Michel HOTTELIER, Droit constitutionnel suisse, 2013, vol. 2, 3ème éd., p. 500 s. n. 1074 ss).</w:t>
      </w:r>
    </w:p>
    <w:p>
      <w:r>
        <w:t>b. En l’espèce, les situations ne sont pas semblables, puisque l’obligation d’inscrire une servitude sur la parcelle n° 5______ ne naît qu’à l’achèvement des travaux, alors que la recourante avait l’obligation d’avoir fait inscrire la servitude avant l’ouverture du chantier.</w:t>
      </w:r>
    </w:p>
    <w:p>
      <w:r>
        <w:t>Rien ne permet pas ailleurs de conclure que le DT aurait renoncé à obtenir l’inscription de la servitude de passage à la charge de la parcelle n° 5______, ni qu’en l’absence d’inscription il aurait renoncé à sanctionner la carence de la propriétaire.</w:t>
      </w:r>
    </w:p>
    <w:p>
      <w:r>
        <w:t>Rien ne permet enfin de suspecter que le DT aurait l’intention de ne pas faire respecter à l’avenir les conditions assortissant les autorisations délivrées dans le quartier et visant à garantir l’acquisition des droits nécessaires à la réalisation du projet de voie verte, de sorte que la recourante devrait en toute hypothèse, soit même pour le cas où la servitude grevant la parcelle ne serait pas encore inscrite et aucune poursuite ne serait encore entamée, se voir opposer le principe selon lequel elle ne peut se prévaloir d’une égalité dans l’illégalité.</w:t>
      </w:r>
    </w:p>
    <w:p>
      <w:r>
        <w:t>Le grief sera rejeté.</w:t>
      </w:r>
    </w:p>
    <w:p>
      <w:r>
        <w:t>Entièrement mal fondé, le recours sera rejeté. 8)</w:t>
      </w:r>
    </w:p>
    <w:p>
      <w:r>
        <w:t>Un émolument de CHF 1'500.- sera mis à la charge de la recourante, qui succombe (art. 87 al. 1 LPA). Aucune indemnité de procédure ne sera allouée (art. 87 al. 2 LPA).</w:t>
      </w:r>
    </w:p>
    <w:p>
      <w:r>
        <w:t>* * * * *</w:t>
      </w:r>
    </w:p>
    <w:p>
      <w:r>
        <w:t>- 13/14 - A/2290/2019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