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ATA/960/2020 vom 29. September 2020</w:t>
      </w:r>
    </w:p>
    <w:p>
      <w:r>
        <w:t>GE Cour de justice, 2020-09-29, FR</w:t>
      </w:r>
    </w:p>
    <w:p>
      <w:r>
        <w:rPr>
          <w:b/>
        </w:rPr>
        <w:t xml:space="preserve">Quelle: </w:t>
      </w:r>
      <w:r>
        <w:t>https://mcp.opencaselaw.ch/entscheid/ge_gerichte_ATA_960_2020</w:t>
      </w:r>
    </w:p>
    <w:p>
      <w:r>
        <w:t>FR: GE_GERICHTE ATA/960/2020 du 29 septembre 2020</w:t>
      </w:r>
    </w:p>
    <w:p>
      <w:r>
        <w:t>IT: GE_GERICHTE ATA/960/2020 del 29 settembre 2020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septembre 2019 ; ATA/334/2018 du 10 avril 2018). 2)</w:t>
      </w:r>
    </w:p>
    <w:p>
      <w:r>
        <w:t>Il ressort de l’arrêt du Tribunal fédéral que c’est à tort que la détention administrative du recourant a été prolongée.</w:t>
      </w:r>
    </w:p>
    <w:p>
      <w:r>
        <w:t>En conséquence et au vu des circonstances du cas d’espèce, aucun émolument ne sera mis à sa charge pour la procédure devant la chambre de céans (art. 87 al. 1 LPA).</w:t>
      </w:r>
    </w:p>
    <w:p>
      <w:r>
        <w:t>- 3/4 - A/2030/2020</w:t>
      </w:r>
    </w:p>
    <w:p>
      <w:r>
        <w:t>Vu l’issue et le type de litige, imposant une grande disponibilité des parties pour un traitement rapide au vu des délais légaux, une indemnité de procédure de CHF 1'000.- sera allouée au recourant pour la procédure devant la chambre de céans ayant abouti à l’ATA/695/2020 (art. 87 al. 2 LPA). Elle sera mise à la charge de l’État de Genève. 3)</w:t>
      </w:r>
    </w:p>
    <w:p>
      <w:r>
        <w:t>Il ne sera pas perçu d’émolument pour le présent arrêt ni alloué d’indemnité.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