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ATA/95/2012 vom 21. Februar 2012</w:t>
      </w:r>
    </w:p>
    <w:p>
      <w:r>
        <w:t>GE Cour de justice, 2012-02-21, FR</w:t>
      </w:r>
    </w:p>
    <w:p>
      <w:r>
        <w:rPr>
          <w:b/>
        </w:rPr>
        <w:t xml:space="preserve">Quelle: </w:t>
      </w:r>
      <w:r>
        <w:t>https://mcp.opencaselaw.ch/entscheid/ge_gerichte_ATA_95_2012</w:t>
      </w:r>
    </w:p>
    <w:p>
      <w:r>
        <w:t>FR: GE_GERICHTE ATA/95/2012 du 21 février 2012</w:t>
      </w:r>
    </w:p>
    <w:p>
      <w:r>
        <w:t>IT: GE_GERICHTE ATA/95/2012 del 21 febbraio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w:t>
      </w:r>
    </w:p>
    <w:p>
      <w:r>
        <w:rPr>
          <w:b/>
        </w:rPr>
        <w:t>E. 3</w:t>
      </w:r>
    </w:p>
    <w:p>
      <w:r>
        <w:t>a. M. D______ demande à ce que la pièce n° 22 produite par l’AFC, soit le relevé du compte Postfinance de son ex-épouse pour la période du 1er janvier au 31 décembre 2006 et ses bordereaux ICC et IFD 2006, soit écartée de la procédure au motif que son contenu essentiel ne lui a pas été communiqué. b. 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w:t>
      </w:r>
    </w:p>
    <w:p>
      <w:r>
        <w:t>- 12/15 - A/1837/2008 pertinentes, de participer à l'administration des preuves essentielles ou à tout le moins de s'exprimer sur son résultat, lorsque cela est de nature à influer sur la décision à rendre (Arrêt du Tribunal fédéral 1C_359/2011 du 7 décembre 2011 ; 2C_669/2008 du 8 décembre 2008, consid. 5 ; ATF 127 III 576 consid. 2c p. 578 s.; 127 V 431 consid. 3a p. 436; 124 II 132 consid. 2b p. 137 et la jurisprudence citée). c. Aux termes de l’art. 45 al. 1 LPA, l’autorité peut interdire la consultation du dossier si l’intérêt public ou des intérêts privés prépondérants l’exigent. En son alinéa 3, l’art. 45 LPA précise qu’une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(ATA 21/2005 du 18 janvier 2005). d. L'art. 17 LPFisc, qui fixe les règles fiscales en matière de consultation des dossiers fiscaux reprend les principes décrits ci-dessus pour ce qui a trait aux procédures devant le département. Il prévoit ainsi que le contribuable peut prendre connaissance des autres pièces du dossier une fois les faits établis et à condition que la sauvegarde d'intérêts publics ou privés ne s'y oppose pas. L'al. 5 ajoute que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Cela vaut en particulier pour des documents provenant du dossier fiscal d'un tiers (Arrêt du Tribunal fédéral 2P.186/2006 du 27 novembre 2006, consid. 4 ; ATA 297/2009 du 16 juin 2009). L’art. 114 de la loi fédérale sur l’impôt fédéral direct du 14 décembre 1990 (LIFD - RS 642.11) a une teneur identique. e. En l’espèce, par pli du 10 novembre 2010, la chambre administrative a fait savoir à M. D______ que la pièce n° 22 attestait des pensions alimentaires versées par lui pour l’année 2006 dont il possédait par la force des choses les justificatifs. La question de savoir si cette pièce (qui contient une copie des relevés de comptes privés et bordereaux ICC et IFD 2006 produits en première instance par l’ex-épouse sur demande de la commission, mais auprès de l’AFC uniquement) est couverte par le secret fiscal peut être discutée. Elle sera toutefois laissée ouverte, l’issue du litige étant totalement indépendante de son contenu auquel il ne sera pas fait référence. La pièce n°22 sera ainsi écartée.</w:t>
      </w:r>
    </w:p>
    <w:p>
      <w:r>
        <w:rPr>
          <w:b/>
        </w:rPr>
        <w:t>E. 4</w:t>
      </w:r>
    </w:p>
    <w:p>
      <w:r>
        <w:t>a. A teneur de l’art. 33 al. 1 let. c de la loi fédérale sur l’impôt fédéral direct du 14 décembre 1990 (LIFD - RS 642.11) sont déduits du revenu la pension alimentaire versée au conjoint divorcé, séparé judiciairement ou de fait, ainsi que les contributions d’entretien versées à l’un des parents pour les enfants sur lesquels il a l’autorité parentale, à l’exclusion toutefois des prestations</w:t>
      </w:r>
    </w:p>
    <w:p>
      <w:r>
        <w:t>- 13/15 - A/1837/2008 versées en exécution d’une obligation d’entretien ou d’assistance fondée sur le droit de la famille.</w:t>
      </w:r>
    </w:p>
    <w:p>
      <w:r>
        <w:t>b. Pour l’impôt cantonal et communal, conformément à l’art. 72 al. 1 de la loi sur l’imposition des personnes physiques du 27 septembre 2009 (LIPP - D 3 08), c’est l’ancienne loi sur l'imposition des personnes physiques - Détermination du revenu net – Calcul de l'impôt et rabais d'impôt - Compensation des effets de la progression à froid du 22 septembre 2000 (aLIPP- V), qui demeure applicables aux impôts pour les périodes fiscales antérieures à 2010. L’art. 5 LIPP-V a une teneur similaire à celle de l’art. 33 al. 1 let. c LIFD précité.</w:t>
      </w:r>
    </w:p>
    <w:p>
      <w:r>
        <w:t>c. Dans le système de l'impôt fédéral direct, comme en matière d'impôts cantonal et communal, la pension alimentaire versée au conjoint divorcé, séparé judiciairement ou de fait, ainsi que les contributions d'entretien allouées à l'un des parents pour les enfants sur lesquels il a l'autorité parentale, sont déduites du revenu brut (art. 33 al. 1 let. c LIFD). En corollaire, ces prestations sont imposables chez le parent bénéficiaire (art. 23 let. f LIFD). Dans ce système, la déduction de la pension alimentaire représente une exception et doit respecter le principe de la concordance, c'est-à-dire que la prestation est déductible chez le débiteur, parce qu'elle est imposable chez son bénéficiaire (Arrêt du Tribunal fédéral 2C_436/2010 du 16 septembre 2010, c. 5.2.1)</w:t>
      </w:r>
    </w:p>
    <w:p>
      <w:r>
        <w:rPr>
          <w:b/>
        </w:rPr>
        <w:t>E. 5</w:t>
      </w:r>
    </w:p>
    <w:p>
      <w:r>
        <w:t>a.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ATA/283/2011 du 10 mai 2011 ; ATA/41/2011 du 25 janvier 2011 ; E. BLUMENSTEIN/P. LOCHER, System des schweizerischen Steuerrechts, 6ème éd., 2002, p. 416 et les références citées). b.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(ATA/283/2011 du 10 mai 2011 ; RIVIER, op. cit., p. 139 ; BLUMENSTEIN/LOCHER, op. cit., p. 403s.).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w:t>
      </w:r>
    </w:p>
    <w:p>
      <w:r>
        <w:rPr>
          <w:b/>
        </w:rPr>
        <w:t>E. 6</w:t>
      </w:r>
    </w:p>
    <w:p>
      <w:r>
        <w:t>Il résulte de ce qui précède que le principe de la concordance n’a pas d’incidence sur le fait que, pour pouvoir être déduit, le paiement doit encore être</w:t>
      </w:r>
    </w:p>
    <w:p>
      <w:r>
        <w:t>- 14/15 - A/1837/2008 prouvé. Or, en l’espèce, M. D______ n’a pas établi avoir versé à son ex-épouse à titre de pension alimentaire la somme de CHF 5'800.- qu’il entend voir déduite de son revenu imposable 2006. Il n’a produit ni reçu signé de celle-là, ni relevé bancaire ou postal. Pour le surplus, le fait qu’il ait prélevé de l’argent aux bancomats en début ou fin de mois n’a, contrairement à ce que retient arbitrairement le jugement querellé, aucune force probante ou valeur d’indice, l’argent ayant parfaitement pu être affecté à d’autres fins. Il en découle que M. D______ n’a pas rapporté la preuve des faits propres à diminuer sa dette d’impôt.</w:t>
      </w:r>
    </w:p>
    <w:p>
      <w:r>
        <w:rPr>
          <w:b/>
        </w:rPr>
        <w:t>E. 7</w:t>
      </w:r>
    </w:p>
    <w:p>
      <w:r>
        <w:t>Le recours interjeté par l’AFC doit ainsi être entièrement admis en ce sens que l’arrêt querellé est annulé et les bordereaux de taxation ICC et IFD 2006 du 16 avril 2008 rectifiés de sorte à admettre une déduction au titre des contributions d’entretien versées de CHF 26'100.-, correspondant à tous les versements effectués par M. D______ en 2006 à titre de contribution d’entretien, à l’exception des montants non prouvés, (soit CHF 31'900.- moins CHF 5'800.-).</w:t>
      </w:r>
    </w:p>
    <w:p>
      <w:r>
        <w:rPr>
          <w:b/>
        </w:rPr>
        <w:t>E. 8</w:t>
      </w:r>
    </w:p>
    <w:p>
      <w:r>
        <w:t>Vu l’issue du litige, un émolument de CHF 500.- sera mis à la charge de M. D______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