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ATA/959/2023 vom 5. September 2023</w:t>
      </w:r>
    </w:p>
    <w:p>
      <w:r>
        <w:t>GE Cour de justice, 2023-09-05, FR</w:t>
      </w:r>
    </w:p>
    <w:p>
      <w:r>
        <w:rPr>
          <w:b/>
        </w:rPr>
        <w:t xml:space="preserve">Quelle: </w:t>
      </w:r>
      <w:r>
        <w:t>https://mcp.opencaselaw.ch/entscheid/ge_gerichte_ATA_959_2023</w:t>
      </w:r>
    </w:p>
    <w:p>
      <w:r>
        <w:t>FR: GE_GERICHTE ATA/959/2023 du 5 septembre 2023</w:t>
      </w:r>
    </w:p>
    <w:p>
      <w:r>
        <w:t>IT: GE_GERICHTE ATA/959/2023 del 5 settembre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a sollicité son audition. 2.1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2.2 En l'espèce, le recourant a eu l’occasion de s’exprimer par écrit devant le TAPI et la chambre de céans, et de produire toute pièce utile. Il n’expose pas quels éléments supplémentaires son audition apporterait à l’instruction de la cause qu’ils n’auraient pas pu développer par écrit. Il n’a pas fait usage devant la chambre de céans des délais lui ayant été accordés pour compléter son recours, comme pourtant expressément requis, puis pour répliquer.</w:t>
      </w:r>
    </w:p>
    <w:p>
      <w:r>
        <w:t>- 6/15 - A/2835/2022 Il n’a par ailleurs pas de droit à être entendu oralement par la chambre de céans. Celle-ci dispose ainsi d'un dossier complet lui permettant de trancher le litige en toute connaissance de cause. Il ne sera donc pas donné suite à la demande d'audition. 3. Le recourant considère que son droit d’être entendu aurait été violé, faute pour la décision de l’OCIRT et le jugement du TAPI d’être suffisamment motivés. 3.1 Le droit d'être entendu garanti par les art. 29 al. 2 Cst. et 41 LPA comprend le droit d'obtenir une décision motivée (ATF 142 II 154 consid. 4.2 ; 141 V 557 consid. 3.2.1). L'autorité n'est toutefois pas tenue de prendre position sur tous les moyens des parties ; elle peut se limiter aux questions décisives (ATF 142 II 154 consid. 4.2 ; 141 V 557 consid. 3.2.1).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 3.2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 ; ATA/872/2022 du 30 août 2022 consid. 4c ; ATA/447/2021 du 27 avril 2021 consid. 6c). La réparation d'un vice de procédure en instance de recours peut se justifier en présence d'un vice grave lorsque le renvoi constituerait une vaine formalité et aboutirait à un allongement inutile de la procédure (ATF 142 II 218 consid. 2.8.1 ; 137 I 195 consid. 2.3.2 ; ATA/1194/2019 du 30 juillet 2019 consid. 3c). 3.3 En l’espèce, la décision de l’OCIRT indique que les conditions de l’art. 19 let. a et c de la loi fédérale sur les étrangers et l'intégration du 16 décembre 2005 (LEI - RS 142.20) ne sont pas remplies en l’espèce, faute pour l’activité lucrative indépendante prévue par le recourant de représenter un intérêt économique suffisant pour l’économie suisse et d’avoir démontré qu’il disposait d’une source de revenus suffisante et autonome. Il sera vu ci-dessous que cette motivation suffisait pour refuser l’autorisation requise, de sorte que l’autorité en l’espèce a traité les griefs pertinents avant de rendre sa décision et n’avait pas besoin en sus d’aborder l’intégration du recourant en Suisse.</w:t>
      </w:r>
    </w:p>
    <w:p>
      <w:r>
        <w:t>- 7/15 - A/2835/2022 Le TAPI a ensuite discuté les conditions de l’art. 19 let. a LEI. Après avoir constaté qu’elles n’étaient en l’espèce pas remplies, il n’avait pas besoin en sus d’examiner le critère de l’intégration du recourant. Ainsi, son droit d’être entendu n’a pas été violé, étant pour le surplus relevé qu’il a pu devant la chambre de céans, qui dispose d’un plein pouvoir en fait et en droit, à nouveau faire valoir son intégration en Suisse. 4. Le présent litige porte sur le refus de l'OCIRT de délivrer au recourant une autorisation de séjour à l’année avec activité lucrative indépendante (permis B), contingentée. Le recourant soutient que les conditions de l'art. 19 LEI seraient réalisées. L’autorité intimée et le TAPI auraient versé dans l'arbitraire en retenant le contraire. 4.1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w:t>
      </w:r>
    </w:p>
    <w:p>
      <w:r>
        <w:rPr>
          <w:b/>
        </w:rPr>
        <w:t>E. 7</w:t>
      </w:r>
    </w:p>
    <w:p>
      <w:r>
        <w:t>janvier 2020 consid. 3). 4.2 Le 1er janvier 2019 est entrée en vigueur une modification de la LEI, et de l'ordonnance relative à l'admission, au séjour et à l'exercice d'une activité lucrative du 24 octobre 2007 (OASA - RS 142.201). Conformément à l'art. 126 al. 1 LEI, les demandes déposées après le 1er janvier 2019, comme en l’espèce, le 20 juin 2022, sont régies par le nouveau droit (arrêt du Tribunal fédéral 2C_1075/2019 du 21 avril 2020 consid. 1.1). 5. 5.1 La LEI et ses ordonnances, en particulier l'OASA, règlent l'entrée, le séjour et la sortie des étrangers dont le statut juridique n'est pas réglé par d'autres dispositions du droit fédéral ou par des traités internationaux conclus par la Suisse (art. 1 et 2 LEI) (ATA/1289/2019 du 27 août 2019 consid. 4), ce qui est le cas des ressortissants tunisiens. 5.2 Selon l'art. 11 al. 1 LEI, tout étranger qui entend exercer en Suisse une activité lucrative doit être titulaire d'une autorisation, quelle que soit la durée de son séjour ; il doit la solliciter auprès de l'autorité compétente du lieu de travail envisagé. 5.3 Lorsqu’un étranger ne possède pas de droit à l’exercice d’une activité lucrative, une décision cantonale préalable concernant le marché du travail est nécessaire pour l’admettre en vue de l’exercice d’une activité lucrative (art. 40 al. 2 LEI). Dans le canton de Genève, la compétence pour rendre une telle décision est attribuée à l'OCIRT (art. 6 al. 4 du règlement d'application de la loi fédérale sur les étrangers, du 17 mars 2009 - RaLEtr - F 2 10.01). L’OCPM reçoit et traite</w:t>
      </w:r>
    </w:p>
    <w:p>
      <w:r>
        <w:t>- 8/15 - A/2835/2022 les demandes d'autorisation d'admission pour d'autres motifs que ceux relevant de l’exercice d’une activité lucrative (art. 8 RaLEtr). 5.4 L'art. 19 LEI prévoit qu'un étranger peut être admis en vue d'exercer une activité lucrative indépendante aux conditions suivantes : son admission sert les intérêts économiques du pays (let. a) ; les conditions financières et les exigences relatives à l'exploitation de l'entreprise sont remplies (let. b) ; il dispose d'une source de revenus suffisante et autonome (let. c) ; les conditions fixées aux art. 20 et 23 à 25 LEI sont remplies (let. d). Les autorités compétentes bénéficient d'un large pouvoir d'appréciation. En raison de sa formulation potestative, les art. 18 et 19 LEI ne confèrent aucun droit à l'autorisation sollicitée (ATA/361/2020 du 16 avril 2020 ; ATA/1660/2019 du</w:t>
      </w:r>
    </w:p>
    <w:p>
      <w:r>
        <w:rPr>
          <w:b/>
        </w:rPr>
        <w:t>E. 12</w:t>
      </w:r>
    </w:p>
    <w:p>
      <w:r>
        <w:t>novembre 2019, confirmé par arrêt du Tribunal fédéral 2C_30/2020 du</w:t>
      </w:r>
    </w:p>
    <w:p>
      <w:r>
        <w:rPr>
          <w:b/>
        </w:rPr>
        <w:t>E. 14</w:t>
      </w:r>
    </w:p>
    <w:p>
      <w:r>
        <w:t>janvier 2020 consid. 3.1). De même, un employeur ne dispose d'aucun droit à engager un étranger en vue de l'exercice d'une activité lucrative en Suisse (arrêts du Tribunal fédéral 2D_57/2015 du 21 septembre 2015 consid. 3 ; 2D_4/2015 du 23 janvier 2015 consid. 3 ; arrêt du Tribunal administratif fédéral [ci-après : TAF] C- 5184/2014 du 31 mars 2016 consid. 3). 5.5 Selon le ch. 4.3.1 des Directives du secrétariat d'État aux migrations (ci-après : SEM), domaine des étrangers, 2013, état au 1er novembre 2021 (ci-après : Directives LEI) – qui ne lient pas le juge, mais dont celui-ci peut tenir compte pour assurer une application uniforme de la loi envers chaque administré et pourvu qu'elles respectent le sens et le but de la norme applicable (ATA/1660/2019 précité consid. 4c) – l'autorité doit apprécier le cas en tenant compte en particulier de la situation sur le marché du travail, de l'évolution économique durable et de la capacité de l'étranger concerné de s'intégrer. 5.6 S'agissant de l'implantation d'une entreprise, il est admis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(Directives LEI ch. 4.7.2.1). 5.6.1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w:t>
      </w:r>
    </w:p>
    <w:p>
      <w:r>
        <w:t>- 9/15 - A/2835/2022 certain domaine d'activité, il existe une demande durable à laquelle la main- d'œuvre étrangère en cause est susceptible de répondre sur le long terme (arrêt du TAF C- 8717/2010 du 8 juillet 2011 consid. 5.1 ; ATA/1147/2018 du 30 octobre 2018 consid. 7c ; ATA/1018/2017 du 27 juin 2017 consid. 4c ; Marc SPESCHA/ Antonia KERLAND/Peter BOLZLI, Handbuch zum Migrationsrecht, 2ème éd., 2015, p. 173 et ss ; art. 23 al. 3 LEtr). L'art. 3 al. 1 LEI concrétise le terme en ce sens que les chances d'une intégration durable sur le marché du travail suisse et dans l'environnement social sont déterminantes (Minh Son NGUYEN/Cesla AMARELLE, Code annoté de droit des migrations, vol. 2 : LEtr, 2017, p. 145 et les références citées). L'activité économique est dans l'intérêt économique du pays si l'étranger offre par là une prestation pour laquelle il existe une demande non négligeable et qui n'est pas déjà fournie en surabondance (Minh Son NGUYEN/Cesla AMARELLE, op. cit., p. 146 et les références citées). 5.6.2 On considère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(arrêts du TAF C- 2485/2011 du 11 avril 2013 et C-7286/2008 du 9 mai 2011). 5.6.3 Il convient de tenir compte en particulier de la situation sur le marché du travail, de l’évolution économique durable et de la capacité de l’étranger concerné à s’intégrer. Il ne s’agit pas de maintenir une infrastructure avec une main- 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(arrêt du TAF F-4226/2017 du 8 octobre 2019 consid. 4.5.1 ; ATA/1280/2015 du 1er décembre 2015 consid. 12 ; Directives LEI, ch. 4.3.1). 5.7 L’autorisation doit également s’inscrire dans les limites du contingent fixé par le Conseil fédéral (art. 20 LEI), selon un nombre maximum fixé dans l’annexe 2 OASA. L’art. 20 al. 1 1ère phr. LEI prévoit plus particulièrement que le Conseil fédéral peut limiter le nombre d’autorisations de séjour initiales (art. 32 et 33 LEI) octroyées en vue de l’exercice d’une activité lucrative. Cette compétence se trouve mise en œuvre aux art. 19, 20 et 21 OASA. Plus particulièrement, l’art. 20 al. 1 OASA dispose que les cantons peuvent délivrer des autorisations pour des séjours en vue d’exercer une activité lucrative d’une durée supérieure à un an, dans les limites des nombres maximums fixés à l’annexe 2 ch. 1 let. a OASA (arrêt du TAF C-5420/2012 du 15 janvier 2014 consid. 7.1). Compte tenu du contingent restreint accordé aux cantons, les autorités du marché de l’emploi sont contraintes de se montrer restrictives dans l’appréciation des demandes dont elles</w:t>
      </w:r>
    </w:p>
    <w:p>
      <w:r>
        <w:t>- 10/15 - A/2835/2022 sont saisies et ne peuvent retenir que celles qui traduisent un intérêt pour la collectivité. 5.8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144 I 113 consid. 7. 1 ; arrêt du Tribunal fédéral 8C_743/2020 du 30 juin 2021 consid. 2.2). 6. En l’espèce, il doit être déterminé en premier lieu si l'admission du recourant en Suisse servirait les intérêts économiques du pays (art. 19 let. a LEI) avant d’examiner, si, cumulativement les conditions financières et les exigences relatives à l'exploitation de l'entreprise sont remplies (art. 19 let. b LEI). Il ressort du dossier, comme l’OCIRT et le TAPI l’ont correctement exposé, que l’activité envisagée par le recourant ne revêt aucune originalité particulière dans le paysage économique genevois ni ne contribuerait à sa diversification. Il n’a, au stade du recours, toujours pas produit d’étude de marché qui mettrait en avant un besoin et/ou un intérêt d’un grand nombre de patients tunisiens, par hypothèse disposant de moyens économiques suffisants, de venir se faire soigner en Suisse. On ignore aussi si les cliniques privées genevoises seraient intéressées à recevoir de tels patients et à quelles conditions. Les autres activités que le recourant souhaite proposer sont, pour reprendre un terme de l’OCIRT, un « patchwork » vu leur diversité, puisqu’il s’agirait de l’importation vers la Tunisie de produits « phares » suisses, dont on ignore la nature, l’importation en Suisse de produits artisanaux tunisiens, sans que l’on sache de quel type, et enfin « des services administratifs généraux » et une « activité logistique générale » entre ces deux pays et le Maghreb en général. Toutes ces activités ne présentent aucune singularité et le recourant n’a toujours pas démontré qu’il existerait, dans ces domaines, une demande non négligeable et durable à laquelle il serait susceptible de répondre sur le long terme et qui ne serait pas déjà fournie en surabondance. En outre, la seule projection financière pour les mois de mai 2022 à décembre 2024, quand bien même elle aurait été établie par une fiduciaire suisse, n’est nullement documentée. Le recourant n’a ainsi pas démontré que son activité contribuerait à la diversification du paysage économique genevois. La condition de la création de places de travail n’est pas non plus réalisée. En effet, si le recourant allègue qu'à l'avenir il compte engager un employé et distribuerait des mandats externes, aucun élément du dossier ne permet d'étayer son affirmation. On ignore même quel serait le profil de ce collaborateur, sa rémunération, et la nature des mandats. On ne saurait donc considérer que</w:t>
      </w:r>
    </w:p>
    <w:p>
      <w:r>
        <w:t>- 11/15 - A/2835/2022 l’activité du recourant permettra la création d’un nombre d’emplois significatif qui aurait des retombées durables positives sur le marché suisse du travail. La condition des investissements substantiels n’est pas davantage remplie, puisque le recourant n’a apporté aucun élément permettant de retenir qu’il en réaliserait. Au contraire, il a articulé dans son business plan des montants afférents à des « frais de matériel, marchandises et prestations », sans autre précision, de l’ordre de CHF 100'000.- par année complète, un loyer annuel de CHF 12'000.-, soit un montant faible pour des locaux commerciaux, et des charges de véhicules de CHF 5'000.-. En tout état le chiffre articulé s’agissant du plus important de ces trois postes n’est pas démontré et ne peut par conséquent pas être considéré comme réaliste. Enfin, la condition des nouveaux mandats pour l'économie n’est, elle non plus, pas remplie puisque le recourant n’a apporté aucun élément permettant de retenir qu’il aurait un volume suffisant d’affaires ou de clientèle pour retenir la création effective de nouveaux mandats, poste qui ne figure d’ailleurs pas dans son business plan. Dans ces circonstances, il n'a pas été démontré à satisfaction de droit que la création de cette société représenterait un intérêt économique suffisant pour le canton de Genève, tant au vu de la création de places de travail et d'investissements que de la diversification de l'économie genevoise. Les arguments invoqués par l’OCIRT et retenus par le TAPI, détaillés et convaincants, relativisent fortement les considérations et explications du recourant, lesquelles ne reposent sur aucune preuve. Compte tenu de ces considérations, les éléments que fait valoir le recourant sont insuffisants pour considérer que l'octroi d'une autorisation de séjour avec activité lucrative indépendante servirait les intérêts économiques du pays au sens de la loi et de la jurisprudence et que les conditions financières et les exigences relatives à l'exploitation de la société seraient garanties. Dès lors que les conditions prévues à l'art. 19 LEI ne sont pas réalisées, tant l'OCIRT que le TAPI ont correctement appliqué la loi. L'OCIRT n'a pas abusé de son pouvoir d'appréciation en refusant de donner une suite favorable à la demande du recourant et on ne voit pas sur quels éléments le TAPI aurait fait preuve d’arbitraire. Dans la mesure où les conditions des art. 19 ss LEI devaient être remplies de manière cumulative, il n’y a pas lieu d'analyser plus en avant si les autres conditions à l'octroi d'une autorisation de séjour en vue d'exercer une activité lucrative indépendante sont remplies (arrêt du TAF du 16 août 2021 F_968/2019 et les références citées), ni l’intégration du recourant.</w:t>
      </w:r>
    </w:p>
    <w:p>
      <w:r>
        <w:t>- 12/15 - A/2835/2022 Mal fondé, le recours sera rejeté. 7. Vu l'issue du litige, un émolument de CHF 400.- sera mis à la charge du recourant (art. 87 al. 1 LPA) et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