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ATA/958/2023 vom 5. September 2023</w:t>
      </w:r>
    </w:p>
    <w:p>
      <w:r>
        <w:t>GE Cour de justice, 2023-09-05, FR</w:t>
      </w:r>
    </w:p>
    <w:p>
      <w:r>
        <w:rPr>
          <w:b/>
        </w:rPr>
        <w:t xml:space="preserve">Quelle: </w:t>
      </w:r>
      <w:r>
        <w:t>https://mcp.opencaselaw.ch/entscheid/ge_gerichte_ATA_958_2023</w:t>
      </w:r>
    </w:p>
    <w:p>
      <w:r>
        <w:t>FR: GE_GERICHTE ATA/958/2023 du 5 septembre 2023</w:t>
      </w:r>
    </w:p>
    <w:p>
      <w:r>
        <w:t>IT: GE_GERICHTE ATA/958/2023 del 5 settembre 2023</w:t>
      </w:r>
    </w:p>
    <w:p>
      <w:pPr>
        <w:pStyle w:val="Heading2"/>
      </w:pPr>
      <w:r>
        <w:t>Erwägungen</w:t>
      </w:r>
    </w:p>
    <w:p>
      <w:r>
        <w:rPr>
          <w:b/>
        </w:rPr>
        <w:t>E. 48</w:t>
      </w:r>
    </w:p>
    <w:p>
      <w:r>
        <w:t>al. 1 let. b LPA prévoit certes que le fait de bénéficier d’une plus longue durée de séjour en Suisse ne constitue pas une modification notable de circonstances. Or, dans le cas présent, le recourant n’a eu de cesse d’interpeller l’OCPM, soit par courriels des 19 août 2020, 14 octobre 2020, 5 novembre 2020, 14 décembre 2020, 11 janvier 2021 et 16 février 2021, au sujet du traitement de sa demande. L’écoulement du temps depuis le dépôt de sa nouvelle demande du le 8 février 2017 ne saurait ainsi lui être entièrement imputé. S’ajoute à cela que sa situation professionnelle a, entre temps, évolué puisqu’il fait valoir qu’il est devenu associé-gérant d’une entreprise générale de rénovation. Il se prévaut également du remboursement de nombreuses dettes. Enfin, les enjeux liés à sa famille nucléaire au Kosovo, qui étaient déterminants dans la décision du 30 mars 2016, ont également évolué, ses enfants étant désormais adolescents. En pareilles circonstances dans lesquelles l’OCPM a mis cinq ans pour statuer, et comme le TAF a déjà eu l’occasion de le juger dans l’arrêt précité, repris dans la jurisprudence de la chambre de céans, il convient de reconnaître à une personne, qui réside depuis un certain nombre d’années en Suisse, soit en l’occurrence depuis au moins 14 ans, la possibilité de solliciter une autorisation de séjour fondée sur une nouvelle situation personnelle en Suisse (une analyse de sa situation actuelle) et donc de demander une autorisation de séjour fondée sur l'art. 30 al. 1 let. b LEI. Il sera du reste précisé que, selon la jurisprudence, un séjour particulièrement long a pour effet que les exigences posées aux critères d’appréciation du cas de rigueur doivent être assouplies (ATA/434/2020 du 30 avril 2020 ; arrêts du TAF F-1734/2019 du 23 mars 2020 consid. 9.2.1 et C- 1136/2013 du 24 septembre 2013 consid. 6.1). C'est par conséquent à tort que l'OCPM n'a pas examiné la demande du 8 février 2017 comme une demande d'autorisation de séjour pour cas individuel d'extrême gravité, considérant que les critères y relatifs avaient déjà été examinés auparavant dans le cadre de sa décision du 30 mars 2016 portant sur l'examen de l'art. 50 LEI. Un examen de la situation du recourant sous l'angle de l'art. 30 al. 1 let. b LEI ne saurait avoir lieu au stade du recours devant la juridiction de seconde instance, tant parce que cette dernière ne doit pas sans motif particulier se substituer aux autorités chargées ordinairement d'une instruction éventuelle que pour ne pas priver le justiciable de la garantie du double degré de juridiction. Au vu de ce qui précède, le recours sera admis. Le jugement du TAPI du 16 décembre 2022 sera annulé. Le dossier sera renvoyé à l'OCPM pour qu'il procède dans le sens des considérants. 5. Vu l'issue du litige, aucun émolument ne sera mis à la charge du recourant, qui obtient gain de cause (art. 87 al. 1 LPA), et une indemnité pour la procédure</w:t>
      </w:r>
    </w:p>
    <w:p>
      <w:r>
        <w:t>- 13/16 - A/1667/2022 devant le TAPI et celle devant la chambre de céans lui sera allouée à concurrence de CHF 1'000.-,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