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ATA/955/2024 vom 20. August 2024</w:t>
      </w:r>
    </w:p>
    <w:p>
      <w:r>
        <w:t>GE Cour de justice, 2024-08-20, FR</w:t>
      </w:r>
    </w:p>
    <w:p>
      <w:r>
        <w:rPr>
          <w:b/>
        </w:rPr>
        <w:t xml:space="preserve">Quelle: </w:t>
      </w:r>
      <w:r>
        <w:t>https://mcp.opencaselaw.ch/entscheid/ge_gerichte_ATA_955_2024</w:t>
      </w:r>
    </w:p>
    <w:p>
      <w:r>
        <w:t>FR: GE_GERICHTE ATA/955/2024 du 20 août 2024</w:t>
      </w:r>
    </w:p>
    <w:p>
      <w:r>
        <w:t>IT: GE_GERICHTE ATA/955/2024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titre subsidiaire à un transport sur place.</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un transport sur place n’est pas nécessaire, compte tenu des rapports, plans et photos figurant au dossier ainsi que des données accessibles via le SITG, qui permettent de déterminer la nature des boisements et sur lesquels les parties ont eu plusieurs fois l’occasion de s’exprimer. Il ne sera pas donné suite à la demande d’actes d’instruction.</w:t>
      </w:r>
    </w:p>
    <w:p>
      <w:r>
        <w:rPr>
          <w:b/>
        </w:rPr>
        <w:t>E. 3</w:t>
      </w:r>
    </w:p>
    <w:p>
      <w:r>
        <w:t>Le litige a pour objet les décisions du département qualifiant de zones forestières les zones n° 1 et n° 2 situées en tout ou en partie sur les parcelles de la recourante.</w:t>
      </w:r>
    </w:p>
    <w:p>
      <w:r>
        <w:rPr>
          <w:b/>
        </w:rPr>
        <w:t>E. 3.1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- 17/23 - A/1370/2023</w:t>
      </w:r>
    </w:p>
    <w:p>
      <w:r>
        <w:rPr>
          <w:b/>
        </w:rPr>
        <w:t>E. 3.2</w:t>
      </w:r>
    </w:p>
    <w:p>
      <w:r>
        <w:t>La LFo a pour but général la protection des forêts, notamment la conservation de l'aire forestière, qui ne doit pas être diminuée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OFo,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 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w:t>
      </w:r>
    </w:p>
    <w:p>
      <w:r>
        <w:rPr>
          <w:b/>
        </w:rPr>
        <w:t>E. 3.3</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w:t>
      </w:r>
    </w:p>
    <w:p>
      <w:r>
        <w:t>- 18/23 - A/1370/2023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rPr>
          <w:b/>
        </w:rPr>
        <w:t>E. 3.4</w:t>
      </w:r>
    </w:p>
    <w:p>
      <w:r>
        <w:t>Du point de vue qualitatif, les fonctions de la forêt sont au nombre de trois, d'importance équivalente :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w:t>
      </w:r>
    </w:p>
    <w:p>
      <w:r>
        <w:rPr>
          <w:b/>
        </w:rPr>
        <w:t>E. 3.5</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w:t>
      </w:r>
    </w:p>
    <w:p>
      <w:r>
        <w:t>- 19/23 - A/1370/2023 d'appartenir à l'aire forestière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1C_517/2021 et 1C_522/2021 précités consid. 3.2).</w:t>
      </w:r>
    </w:p>
    <w:p>
      <w:r>
        <w:rPr>
          <w:b/>
        </w:rPr>
        <w:t>E. 3.6</w:t>
      </w:r>
    </w:p>
    <w:p>
      <w:r>
        <w:t>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Dans cette procédure, la prise de position de la CCDB ne constitue pas un préavis exigé par la loi pour que la décision de constatation de la nature d’un bien-fonds puisse être prise par l’inspecteur cantonal des forêts (art. 3 al. 2 de la loi instituant une commission consultative de la diversité biologique, a contrario - LCCDB - M 5 38).</w:t>
      </w:r>
    </w:p>
    <w:p>
      <w:r>
        <w:rPr>
          <w:b/>
        </w:rPr>
        <w:t>E. 3.7</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3.8</w:t>
      </w:r>
    </w:p>
    <w:p>
      <w:r>
        <w:t>En l’espèce, dans un premier grief, de nature formelle, la recourante reproche au TAPI d’avoir violé son droit d’être entendue en n’ordonnant pas le transport sur place qu’elle avait requis. Il a été vu plus haut que les plans, images et documents figurant à la procédure suffisent pour déterminer si les boisements constituent des forêts, et qu’un transport sur place ne se justifiait pas pour instruire le recours devant la chambre de céans. Pour les mêmes motifs, le TAPI n’avait pas à ordonner de transport sur place. Le grief sera écarté. Dans un second grief, la recourante se plaint d’abus du pouvoir d’appréciation, d’arbitraire et de la violation de la LForêt. Le grief d’arbitraire se confond en l’espèce avec celui de violation de la loi dès lors que le pouvoir d’examen de la chambre de céans n’est pas limité. L’autorité a retenu que la zone n° 1, issue de la même origine que l’entier du massif, remplissait non seulement la qualité de forêt mais encore exerçait des fonctions forestières, en ce</w:t>
      </w:r>
    </w:p>
    <w:p>
      <w:r>
        <w:t>- 20/23 - A/1370/2023 qu’elle était couverte d’arbres ou d’arbustes forestiers à même d’exercer des fonctions forestières, en particulier de biodiversité et paysagère. La zone n° 2 n’avait pas connu de changement majeur depuis la précédente évaluation, de sorte que celle-ci n’avait pas à être remise en question. Selon la recourante, les boisements n° 1 et n° 2 ne présenteraient pas de fonctions supérieures à celles que présenterait un simple parc. La recourante perd de vue qu’une fois identifiée par l’autorité spécialisée, la fonction forestière qualifie la forêt, avec les conséquences que la loi y attache, et la distingue des parcs. Il n’est ainsi pas pertinent d’appliquer la fonction retenue à un parc à des fins de comparaison, sauf à qualifier celui-ci de forêt à son tour. Le fait, souligné par la recourante, que les boisements résulteraient d’une plantation, qu’ils auraient été entretenus pour des raisons esthétiques et auraient un rapport direct avec l’habitat est sans pertinence pour leur qualification de forêts, et n’exclut en particulier par l’application de la LFo et de la LForêt comme semble le penser la recourante. La recourante reproche au TAPI de n’avoir pas vérifié l’attribution par l’OCAN de la note 2 (« significatif ») pour les fonctions de biodiversité et de protection. Il n’appartient cependant pas au juge du substituer son appréciation à celle de l’autorité spécialisée. Cela étant, le protocole en constatation de la nature forestière du 9 mars 2023 établit des peuplements composés à 98% d’espèces indigènes, soit érable, chêne, orme, frêne, cerisier, pin, épicéa et tilleul, respectivement érable, frêne, sapin et cerisier, des étages intermédiaires, des sous-bois naturels et aucun équipement, ainsi qu’une couverture de 90%. La recourante ne rend pas vraisemblable que les fonctions de biodiversité et de protection ne pourraient être inférées de cette densité et de cette variété d’essences, qu’elle ne conteste par ailleurs pas. La question de la taille de la faune bénéficiant des boisements n’est pas non plus pertinente, et l’OCAN a rappelé dans ses observations que la prétendue difficulté d’accès au boisement n° 1 pour la faune en raison de la présence d’une clôture n’était pas avérée. Ainsi que l’a fait observer l’OCAN, les zones qualifiant les parcelles, en l’espèce la zone 5 et la zone agricole, sont sans influence sur la qualité de forêt des boisements que celles-ci abritent. Le fait pour le TAPI de considérer non dénuée de fondement la fonction de protection esthétique retenue par l’OCAN, ou encore pas incongrue la fonction de protection de la faune exprime tout au plus la réserve observée par le juge qui examine la position de l’instance spécialisée, mais n’affaiblit aucunement le raisonnement de l’autorité. La prise en considération par le même juge d’un contexte de zone bâtie ou urbanisée, pour peu qu’elle soit nécessaire pour confirmer la nature forestière, repose quoi qu’il en soit sur le constat objectif que les parcelles en cause se trouvent en bordure de la zone villas de la commune, et que par ailleurs les zones forestières dans cette même commune sont, comme l’a fait remarquer l’intimé, particulièrement rares.</w:t>
      </w:r>
    </w:p>
    <w:p>
      <w:r>
        <w:t>- 21/23 - A/1370/2023 La recourante fait ensuite grief à l’OCAN d’avoir distingué la zone n° 3. Celle-ci présente toutefois des qualités objectivement différentes des deux autres zones, ce que la recourante ne conteste pas. La zone n° 3 est certes alignée à un (petit) côté de la zone n° 1. Cette circonstance ne crée cependant pas d’homogénéité. L’OCAN a en effet constaté que la zone n° 3 n’avait pas de sous-bois, que son taux de couverture était de 70%, qu’elle était entretenue et que les deux structures arborées étaient séparées par une prairie et constituaient une image paysagère de parc. La recourante n’explique pas en quoi ces différences notables permettraient de conclure à une homogénéité ou à une ressemblance. La recourante qualifie les constats de l’OCAN d’approximations. À tort, cette autorité ayant calculé avec précision la couverture, énuméré les essences présentes, dénombré les arbres et recensé et quantifié les qualités forestières. Le fait que l’OCAN n’ait dans un premier temps pas pris en compte une clôture est indifférent pour la qualification de zone forestière, étant rappelé que la clôture ne fait certainement pas obstacle aux déplacements de la petite faune ni de l’avifaune. La recourante ne saurait en déduire un comportement contradictoire de l’autorité. Le fait que la nature forestière n’ait pas été examinée par le passé à l’occasion de demandes d’autorisations de construire pour des parcelles voisines ne saurait être invoqué par la recourante, qui reconnaît elle-même ne pas disposer d’un droit à l’égalité dans l’illégalité. Surtout, la qualité de forêt se détermine au jour de la décision, et non dans le passé ou le futur (ATA/237/2024 du 27 février 2024 consid. 2.8.2). La recourante fait valoir la largeur, par endroits inférieure à 12 m, de la zone n° 2. Elle perd de vue que cette circonstance est sans effet dès lors que d’autres critères permettent de qualifier le boisement de forêt (ATA/237/2024 précité consid. 2.7.1), si bien qu’elle ne saurait avoir pour effet de les relativiser, comme le soutient la recourante. Enfin, la recourante se plaint d’arbitraire en ce que la limite tracée par l’OCAN en 2018 passe au milieu de la zone n° 2. Elle n’explicite pas son grief et n’expose pas en quoi un tel tracé, établi au surplus pour une décision entrée en force, devrait être tenu pour arbitraire, étant rappelé que ce grief se confond en l’espèce avec celui de violation de la loi. Entièrement mal fondé, le recours sera rejeté.</w:t>
      </w:r>
    </w:p>
    <w:p>
      <w:r>
        <w:rPr>
          <w:b/>
        </w:rPr>
        <w:t>E. 4</w:t>
      </w:r>
    </w:p>
    <w:p>
      <w:r>
        <w:t>Vu l’issue du litige, un émolument de CHF 1'500.- sera mis à la charge de la recourante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