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ATA/953/2024 vom 20. August 2024</w:t>
      </w:r>
    </w:p>
    <w:p>
      <w:r>
        <w:t>GE Cour de justice, 2024-08-20, FR</w:t>
      </w:r>
    </w:p>
    <w:p>
      <w:r>
        <w:rPr>
          <w:b/>
        </w:rPr>
        <w:t xml:space="preserve">Quelle: </w:t>
      </w:r>
      <w:r>
        <w:t>https://mcp.opencaselaw.ch/entscheid/ge_gerichte_ATA_953_2024</w:t>
      </w:r>
    </w:p>
    <w:p>
      <w:r>
        <w:t>FR: GE_GERICHTE ATA/953/2024 du 20 août 2024</w:t>
      </w:r>
    </w:p>
    <w:p>
      <w:r>
        <w:t>IT: GE_GERICHTE ATA/953/2024 del 20 agosto 2024</w:t>
      </w:r>
    </w:p>
    <w:p>
      <w:pPr>
        <w:pStyle w:val="Heading2"/>
      </w:pPr>
      <w:r>
        <w:t>Regeste</w:t>
      </w:r>
    </w:p>
    <w:p>
      <w:r>
        <w:t>Résumé: Afin d'éviter tout formalisme excessif, un courrier dans lequel le préposé à la protection des données se prononce sur la conformité au droit du traitement des données équivaut à une recommandation, même s'il n'est pas intitulé comme tel et que cet organisme ne lui reconnaît pas cette qualité. De la même manière, l'envoi d'une copie de la décision de l'autorité prise à la suite dudit courrier correspond à une notification au préposé à la protection des données. L'intégration d'un rappel à l'ordre dans le dossier personnel du recourant par l'institution employeuse ne constitue pas un cas de traitement illicite des données, de sorte que cette mesure peut être conservée dans ledit dossier. En revanche, y joindre un volumineux rapport de l'Inspection générale des services et ses annexes alors qu'aucun acte pénalement répréhensible n'a été reproché au recourant n'est absolument pas nécessaire pour appréhender l'incident à l'origine du rappel à l'ordre. Ces documents doivent, par conséquent, être retirés de son dossier personnel. La référence à une ordonnance de non-entrée en matière par fichier dans le rappel à l'ordre n'est pas pertinente dans la mesure où le recourant n'a pas été lui-même visé par les poursuites pénales. Ce rappel à l'ordre doit être rectifié en ce sens. Recours partiellement admis.</w:t>
      </w:r>
    </w:p>
    <w:p>
      <w:pPr>
        <w:pStyle w:val="Heading2"/>
      </w:pPr>
      <w:r>
        <w:t>Erwägungen</w:t>
      </w:r>
    </w:p>
    <w:p>
      <w:r>
        <w:rPr>
          <w:b/>
        </w:rPr>
        <w:t>E. 1</w:t>
      </w:r>
    </w:p>
    <w:p>
      <w:r>
        <w:t>Les deux recours ont été interjetés en temps utile devant la juridiction compétente (art. 132 de la loi sur l'organisation judiciaire du 26 septembre 2010 - LOJ - E 2 05 ;</w:t>
      </w:r>
    </w:p>
    <w:p>
      <w:r>
        <w:t>- 10/19 - A/3854/2023 62 al. 1 let. a et 63 al. 1 let. c de la loi sur la procédure administrative du 12 septembre 1985 - LPA - E 5 10).</w:t>
      </w:r>
    </w:p>
    <w:p>
      <w:r>
        <w:rPr>
          <w:b/>
        </w:rPr>
        <w:t>E. 2</w:t>
      </w:r>
    </w:p>
    <w:p>
      <w:r>
        <w:t>Le recourant conclut à la jonction des procédures A/3854/2023 et A/289/2024.</w:t>
      </w:r>
    </w:p>
    <w:p>
      <w:r>
        <w:rPr>
          <w:b/>
        </w:rPr>
        <w:t>E. 2.1</w:t>
      </w:r>
    </w:p>
    <w:p>
      <w:r>
        <w:t>Selon l'art. 70 al. 1 LPA, l'autorité peut, d'office ou sur requête, joindre en une même procédure des affaires qui se rapportent à une situation identique ou à une cause juridique commune.</w:t>
      </w:r>
    </w:p>
    <w:p>
      <w:r>
        <w:rPr>
          <w:b/>
        </w:rPr>
        <w:t>E. 2.2</w:t>
      </w:r>
    </w:p>
    <w:p>
      <w:r>
        <w:t>En l'occurrence, les procédures A/3854/2023 et A/289/2024 concernent les mêmes parties et le même complexe de faits, les questions juridiques posées par les deux recours étant en outre fortement imbriquées. Il se justifie ainsi de joindre ces deux causes sous le numéro A/3854/2023.</w:t>
      </w:r>
    </w:p>
    <w:p>
      <w:r>
        <w:rPr>
          <w:b/>
        </w:rPr>
        <w:t>E. 3</w:t>
      </w:r>
    </w:p>
    <w:p>
      <w:r>
        <w:t>Il y a lieu de préciser préalablement l'objet du litige.</w:t>
      </w:r>
    </w:p>
    <w:p>
      <w:r>
        <w:rPr>
          <w:b/>
        </w:rPr>
        <w:t>E. 3.1</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(ATA/499/2021 du 11 mai 2021 consid. 2a).</w:t>
      </w:r>
    </w:p>
    <w:p>
      <w:r>
        <w:rPr>
          <w:b/>
        </w:rPr>
        <w:t>E. 3.2</w:t>
      </w:r>
    </w:p>
    <w:p>
      <w:r>
        <w:t>La particularité du cas d'espèce réside dans le fait que le recourant a remis en cause, dans un premier temps, le bien-fondé du rappel des devoirs de service. Suite à la décision faisant l'objet de la procédure de recours A/3854/2023, il est revenu sur cette position en indiquant, dans un second temps, exiger le retrait de ce rappel et du rapport de l'IGS sur la seule base de la LIPAD, étant relevé qu'il a sollicité le retrait de ladite décision et la mise en œuvre de la procédure non contentieuse prévue à l'art. 49 LIPAD. Ce n'est que face au maintien de cette décision qu'il a formé le recours A/3854/2023, dont elle est l'objet. Quoi qu'il en soit, la question du bien-fondé du rappel des devoirs de service pourra toutefois souffrir de demeurer indécise. Il ressort de l'ensemble des conclusions et déterminations du recourant que les recours visent le retrait du rappel des devoirs de service et du rapport de l'IGS et ses annexes de son dossier personnel sur la base des seules dispositions de la LIPAD. Partant, la chambre de céans se bornera à examiner la conformité des décisions attaquées à l'aune de la LIPAD.</w:t>
      </w:r>
    </w:p>
    <w:p>
      <w:r>
        <w:t>- 11/19 - A/3854/2023</w:t>
      </w:r>
    </w:p>
    <w:p>
      <w:r>
        <w:rPr>
          <w:b/>
        </w:rPr>
        <w:t>E. 4</w:t>
      </w:r>
    </w:p>
    <w:p>
      <w:r>
        <w:t>Le recourant demande le retrait du rappel des devoirs de service et le rapport de l'IGS et ses annexes de son dossier personnel.</w:t>
      </w:r>
    </w:p>
    <w:p>
      <w:r>
        <w:rPr>
          <w:b/>
        </w:rPr>
        <w:t>E. 4.1</w:t>
      </w:r>
    </w:p>
    <w:p>
      <w:r>
        <w:t>La loi sur l’organisation des établissements et le statut du personnel pénitentiaire du 3 novembre 2016 (LOPP - F 1 50) règle l’organisation des établissements pénitentiaires ainsi que le statut du personnel pénitentiaire qui y est affecté.</w:t>
      </w:r>
    </w:p>
    <w:p>
      <w:r>
        <w:rPr>
          <w:b/>
        </w:rPr>
        <w:t>E. 4.2</w:t>
      </w:r>
    </w:p>
    <w:p>
      <w:r>
        <w:t>La LIPAD régit l’information relative aux activités des institutions et la protection des données personnelles (art. 1 al. 1 LIPAD). Elle poursuit deux objectifs, à savoir, d’une part, favoriser la libre formation de l’opinion et la participation à la vie publique et, d’autre part, protéger les droits fondamentaux des personnes physiques ou morales de droit privé quant aux données personnelles les concernant (art. 1 al. 2 let. a et b LIPAD). Elle comporte ainsi deux volets, l’un concernant l’information du public et l’accès aux documents réglé dans le titre II (art. 5 ss LIPAD), qui n’est pas en cause dans le cadre du présent recours, et l’autre portant sur la protection des données personnelles, dont la réglementation est prévue au titre III (art. 35 ss LIPAD). Elle s'applique notamment aux institutions, établissements et corporations de droit public cantonaux et communaux, ainsi que leurs administrations et les commissions qui en dépendent (art. 3 al. 1 let. c LIPAD).</w:t>
      </w:r>
    </w:p>
    <w:p>
      <w:r>
        <w:rPr>
          <w:b/>
        </w:rPr>
        <w:t>E. 4.3</w:t>
      </w:r>
    </w:p>
    <w:p>
      <w:r>
        <w:t>Selon l'art. 35 LIPAD, les institutions publiques ne peuvent traiter des données personnelles que si, et dans la mesure où, l'accomplissement de leurs tâches légales le rend nécessaire (al. 1). Des données personnelles sensibles ou des profils de la personnalité ne peuvent être traités que si une loi définit clairement la tâche considérée et si le traitement en question est absolument indispensable à l'accomplissement de cette tâche ou s’il est nécessaire et intervient avec le consentement explicite, libre et éclairé de la personne concernée (al. 2). Par données personnelles ou données, la LIPAD vise toutes les informations se rapportant à une personne physique ou morale de droit privé, identifiée ou identifiable (art. 4 let. a LIPAD). Selon l’art. 4 let. b LIPAD, par données personnelles sensibles, on entend les données personnelles sur la sphère intime (ch. 2) et des poursuites ou sanctions pénales ou administratives (ch. 4). Par ailleurs, constitue un traitement de ces données toute opération relative à celles-ci - quels que soient les moyens et procédés utilisés - notamment leur collecte, conservation, exploitation, modification, communication, archivage ou destruction (art. 4 let. e LIPAD)</w:t>
      </w:r>
    </w:p>
    <w:p>
      <w:r>
        <w:rPr>
          <w:b/>
        </w:rPr>
        <w:t>E. 4.4</w:t>
      </w:r>
    </w:p>
    <w:p>
      <w:r>
        <w:t>L'art. 36 al. 1 LIPAD dispose que les institutions publiques veillent, lors de tout traitement de données personnelles, à ce que ces dernières soient pertinentes et nécessaires à l'accomplissement de leurs tâches légales (let. a) ainsi qu'exactes et si nécessaire mises à jour et complétées, autant que les circonstances permettent de l’exiger (let. b). Lorsqu’une institution publique constate que des données personnelles qu’une autre institution lui a communiquées en vertu de</w:t>
      </w:r>
    </w:p>
    <w:p>
      <w:r>
        <w:t>- 12/19 - A/3854/2023 l’art. 39 al. 1 LIPAD, sont inexactes, incomplètes ou obsolètes, elle en informe cette dernière, à moins que cette information ne soit contraire à une loi ou à un règlement (al. 2).</w:t>
      </w:r>
    </w:p>
    <w:p>
      <w:r>
        <w:rPr>
          <w:b/>
        </w:rPr>
        <w:t>E. 4.5</w:t>
      </w:r>
    </w:p>
    <w:p>
      <w:r>
        <w:t>Les institutions publiques détruisent ou rendent anonymes les données personnelles dont elles n'ont plus besoin pour accomplir leurs tâches légales, dans la mesure où ces données ne doivent pas être conservées en vertu d’une autre loi (art. 40 al. 1 LIPAD). Sur décision de l'instance dirigeante de l'institution publique concernée, la destruction de données personnelles peut être différée durant deux ans au maximum à des fins d'évaluation de politiques publiques. Ces données sont dès lors soustraites à communication, sauf si elles sont accessibles au regard de la loi sur les archives publiques, du 1er décembre 2000, ou du titre II de la LIPAD (art. 40 al. 2 LIPAD).</w:t>
      </w:r>
    </w:p>
    <w:p>
      <w:r>
        <w:rPr>
          <w:b/>
        </w:rPr>
        <w:t>E. 4.6</w:t>
      </w:r>
    </w:p>
    <w:p>
      <w:r>
        <w:t>L'art. 47 al. 1 LIPAD prévoit que toute personne physique ou morale de droit privé peut notamment, à propos des données la concernant, exiger des institutions publiques qu’elles s’abstiennent de procéder à un traitement illicite (let. a), mettent fin à un traitement illicite et en suppriment les effets (let. b) ou constatent le caractère illicite du traitement (al. 3). Sauf disposition légale contraire, elle est en particulier en droit d’obtenir des institutions publiques, à propos des données la concernant, qu’elles détruisent celles qui ne sont pas pertinentes ou nécessaires (al. 2 let. a), qu'elles rectifient, complètent ou mettent à jour celles qui sont respectivement inexactes, incomplètes ou dépassées (al. 2 let. b).</w:t>
      </w:r>
    </w:p>
    <w:p>
      <w:r>
        <w:rPr>
          <w:b/>
        </w:rPr>
        <w:t>E. 4.7</w:t>
      </w:r>
    </w:p>
    <w:p>
      <w:r>
        <w:t>Selon l'art. 49 LIPAD, toute requête fondée sur l'art. 47 LIPAD notamment doit être adressée par écrit au responsable chargé de la surveillance de l’organe dont relève le traitement considéré (al. 1). Si le responsable n’entend pas faire droit intégralement aux prétentions du requérant ou en cas de doute sur le bien-fondé de celles-ci, il transmet la requête au préposé avec ses observations et les pièces utiles (al. 2). Le préposé cantonal instruit la requête de manière informelle, puis il formule, à l’adresse de l’institution concernée et du requérant, une recommandation écrite sur la suite à donner à la requête (al. 3). L’institution concernée statue alors par voie de décision dans les dix jours sur les prétentions du requérant (al. 4). À cet égard, la chambre de céans a d'ores et déjà jugé que l'absence d'une recommandation préalable du préposé ne pouvait conduire à une irrecevabilité du recours contre la décision querellée mais plutôt à son annulation pour violation d'une règle essentielle de procédure (ATA/229/2018 du 13 mars 2018 consid. 6 d).</w:t>
      </w:r>
    </w:p>
    <w:p>
      <w:r>
        <w:rPr>
          <w:b/>
        </w:rPr>
        <w:t>E. 4.8</w:t>
      </w:r>
    </w:p>
    <w:p>
      <w:r>
        <w:t>En droit privé, l'art. 328b de la loi fédérale du 30 mars 1911, complétant le Code civil suisse (CO, Code des obligations - RS 220), prévoit que l’employeur ne peut traiter des données concernant le travailleur que dans la mesure où ces données portent sur les aptitudes du travailleur à remplir son emploi ou sont nécessaires à l’exécution du contrat de travail. En outre, les dispositions de la loi fédérale sur la protection des données du 19 juin 1992 (LPD - RS 235.1) sont applicables. Cet</w:t>
      </w:r>
    </w:p>
    <w:p>
      <w:r>
        <w:t>- 13/19 - A/3854/2023 article règlemente les questions liées à la protection des données dans le contrat de travail (Marie MAJOR, Questions spécifiques / Le droit d’accès de l’employé à son dossier personnel ; in Jean-Philippe DUNAND/Pascal MAHON [éd.], La protection des données dans les relations de travail, 2017, p. 289). À l'instar de ce qui prévaut pour l'art. 328 CO, l'art. 328b CO doit également s'appliquer par analogie en droit public, en l’absence de dispositions expresses prévues par le droit de la fonction publique (ATA/649/2023 du 20 juin 2023 consid. 2.3.2.3 et les références citées).</w:t>
      </w:r>
    </w:p>
    <w:p>
      <w:r>
        <w:rPr>
          <w:b/>
        </w:rPr>
        <w:t>E. 4.9</w:t>
      </w:r>
    </w:p>
    <w:p>
      <w:r>
        <w:t>En vertu du principe d’exactitude prévu à l’art. 5 al. 1 LPD, ces données peuvent être objectives (p. ex. une expérience professionnelle) ou subjectives (soit un jugement de valeur, p. ex. l’appréciation portée sur le travail d’un employé). Les données figurant au dossier personnel doivent être correctes, soit refléter de manière correcte, actuelle et objective les faits ou autres circonstances se rapportant à la personne concernée (Marie MAJOR, op. cit., p. 292). Lorsqu'une personne demande la rectification d'une donnée personnelle inscrite, il lui incombe, d'une part, de prouver l'exactitude de la modification demandée et, d'autre part, de fournir une explication suffisante pour écarter d'éventuelles objections pertinentes quant à l'authenticité des documents produits (Arrêt du Tribunal administratif fédéral A-6504/2 du 31 juillet 2018 consid. 3.3.2). Le point de savoir si une donnée est exacte ou non ne peut pas être tranché de façon abstraite, mais doit l'être en fonction des circonstances concrètes du cas d'espèce (Philippe MEIER, Protection des données, 2011, n° 745 p. 289 et référence citée).</w:t>
      </w:r>
    </w:p>
    <w:p>
      <w:r>
        <w:rPr>
          <w:b/>
        </w:rPr>
        <w:t>E. 4.10</w:t>
      </w:r>
    </w:p>
    <w:p>
      <w:r>
        <w:t>La jurisprudence ne définit pas la notion de dossier personnel. La doctrine s'accorde à dire qu'il comporte les données concernant le travailleur dans ses rapports de travail avec l'employeur, de la naissance au déroulement et à la fin des rapports de travail (Marie MAJOR, op. cit., p. 291 et les références citées). Selon le Préposé fédéral à la protection des données et à la transparence (ci-après : le PFPDT), les principaux documents et données contenus dans les dossiers du personnel comprennent notamment les mesures disciplinaires (avertissement, blâme, amende) ou les notes rédigées à la suite d’événements particuliers (Guide pour le traitement des données personnelles dans le secteur du travail, état d'octobre 2014).</w:t>
      </w:r>
    </w:p>
    <w:p>
      <w:r>
        <w:rPr>
          <w:b/>
        </w:rPr>
        <w:t>E. 4.11</w:t>
      </w:r>
    </w:p>
    <w:p>
      <w:r>
        <w:t>En l'espèce, l'autorité intimée a refusé de retirer du dossier personnel du recourant des données qu'il estime avoir été traitées de manière illicite. Il s'agit, d'une part, du rapport de l'IGS et ses annexes dont leur maintien au dossier est contesté et, d'autre part, du rappel des devoirs de service dont l'exactitude des données y figurant est, à tout le moins, remise en question. Avant d'examiner plus avant ces problématiques, il importe d'aborder la question du respect de la procédure non contentieuse prévue par la LIPAD.</w:t>
      </w:r>
    </w:p>
    <w:p>
      <w:r>
        <w:rPr>
          <w:b/>
        </w:rPr>
        <w:t>E. 4.11.1</w:t>
      </w:r>
    </w:p>
    <w:p>
      <w:r>
        <w:t>Le recourant se prévaut de l'absence de recommandation du préposé pour réclamer l'annulation de la décision entreprise.</w:t>
      </w:r>
    </w:p>
    <w:p>
      <w:r>
        <w:t>- 14/19 - A/3854/2023 Après avoir estimé peu pertinent de rendre une recommandation dans la mesure où la décision du 27 octobre 2023 avait d'ores et déjà été prononcée par l'autorité intimée, le préposé a indiqué expressément dans son courrier du 4 décembre 2023 que la conservation du rappel des devoirs de service ou rappel à l'ordre dans le dossier RH du recourant apparaissait conforme au principe de la proportionnalité et aux exigences de l'art. 40 LIPAD, ainsi qu'aux directives de l'État de Genève relatives au dossier personnel. Compte tenu des indications, se pose la question de la qualification de son courrier. En effet, le préposé semble prima facie ne pas considérer son courrier comme une recommandation. Il ressort du texte du courrier lui-même que cette conclusion s'explique essentiellement par le fait que l'autorité intimée avait déjà rendu une décision sur le maintien du rappel des devoirs de service au dossier du recourant. Tout porte à croire que le préposé avait ainsi exclu la possibilité que l'autorité intimée prenne, sur la base de son courrier, une nouvelle décision. Nonobstant ces réserves, il s'est tout de même prononcé sur la conformité du maintien au dossier du rappel à l'ordre à la LIPAD en rappelant, tout d'abord, la disposition topique pertinente, soit plus précisément l'art. 40 LIPAD, avant de formuler de manière claire et sans équivoque sa position sur la conformité de la conservation des documents concernés avec cette disposition légale et directives de service. Dans ces conditions et quoi qu'en pense le recourant, indépendamment de la question du libellé ou de la dénomination de cet acte, il y a lieu de considérer que son contenu correspond en tous points à un avis juridique. Dit autrement, il sera retenu, afin d'éviter tout formalisme excessif, que le courrier du 4 décembre 2023 équivalait à une recommandation au sens de l'art. 49 al. 4 LIPAD, peu importe les cautèles prises par le préposé dans sa rédaction. Toute autre solution aboutirait à l'annulation de la décision du 13 décembre 2023 et au renvoi à l'autorité intimée pour nouvelle décision après avoir préalablement requis une nouvelle fois une recommandation du préposé qui s'est d'ores et déjà exprimé sur la question. En outre et contrairement aux allégations du recourant, dès lors que l'autorité intimée a fait parvenir au préposé une copie de la décision précitée, l'on ne peut raisonnablement admettre, sauf à faire preuve de formalisme excessif, qu'il a été privé de son droit de recours, faute de notification (art. 49 al. 6 et 62 LIPAD). Dès la réception de la copie de la décision, il lui appartenait, le cas échéant, d'interpeller cette autorité pour qu'elle procède formellement à la notification de sa décision. Partant, mal fondé, le grief soulevé sera écarté.</w:t>
      </w:r>
    </w:p>
    <w:p>
      <w:r>
        <w:rPr>
          <w:b/>
        </w:rPr>
        <w:t>E. 4.11.2</w:t>
      </w:r>
    </w:p>
    <w:p>
      <w:r>
        <w:t>Le recourant se plaint de l'illicéité du traitement du rappel des devoirs de service et du rapport de l'IGS, ce dernier document et ses annexes ne devant pas figurer dans son dossier pour les motifs que leur conservation est notamment contraire aux principes de finalité et de proportionnalité. En particulier, il estime qu'ils ne sont pas nécessaires pour justifier un simple rappel des devoirs de service, d'autant plus que l'autorité intimée a renoncé à toute procédure disciplinaire à son égard.</w:t>
      </w:r>
    </w:p>
    <w:p>
      <w:r>
        <w:t>- 15/19 - A/3854/2023 Selon cette dernière, l'ensemble des éléments contenus dans les documents incriminés étaient nécessaires à la bonne compréhension de l'incident à l'origine du rappel des devoirs de service et du rôle d'observateur qu'avait tenu le recourant au moment des faits. Les procès-verbaux des auditions des différents protagonistes annexés au rapport de l'IGS permettaient de mettre en lumière l'existence d'un accord entre les membres du personnel et les mineurs pour ne pas rédiger de rapport d'incident, contrairement aux processus internes. Les pièces concernées pourraient non seulement s'avérer utiles dans le cadre d'une éventuelle procédure disciplinaire ultérieure, mais aussi dans le cadre de la gestion RH usuelle. En tant qu'il constitue une constatation d'un manquement aux devoirs de fonction, le rappel des devoirs de service trouve sa place dans le dossier administratif du recourant, hormis les réserves soulevées par le recourant0 qui seront examinées plus loin. Contrairement à ce qu'il soutient, bien que ce rappel à l'ordre n'a pas été assorti d'une sanction disciplinaire, il n'en demeure pas moins que son adoption ne signifie nullement que l'autorité intimée a renoncé à des sanctions disciplinaires à son encontre. Réservée au cas de très peu de gravité ou bénins et moins incisive que les sanctions disciplinaires, la mesure n'est, à l'instar de l'énoncé des points d'amélioration ou de vigilance, en règle générale qu'une étape préalable pouvant éventuellement conduire à la prise de sanctions disciplinaires, notamment en cas de récidive, eu égard au principe de proportionnalité. Aussi, il ne peut être totalement exclu que le rappel à l'ordre se révèle, le cas échéant, utile dans une éventuelle procédure disciplinaire. Au-delà de cette éventualité, le rappel à l'ordre est nécessaire à la bonne exécution des tâches confiées au recourant et à l'accomplissement par B______ de ses missions légales, à savoir la sécurité et le suivi de mineurs en situation de vulnérabilité, lesquels rendent nécessaires le suivi des gardiens de prison dans l'exercice de leurs fonctions. Partant, l'intégration du rappel des devoirs de service au dossier personnel du recourant est licite, de sorte que le grief soulevé sera rejeté. En outre, il est incontesté que les événements survenus du 11 au 12 mars 2022 se sont produits dans le cadre de l'exécution du travail du recourant et que le rapport de l'IGS et ses annexes exposent de manière circonstanciée leur déroulement, soit plus précisément les différentes interventions des gardiens de prison impliqués, y compris le rôle d'observateur reconnu au recourant. Cela étant et dans la mesure où il est uniquement reproché à celui-ci d'avoir omis d'établir à l'attention de sa hiérarchie un rapport d'incident, il est douteux que le rapport de l'IGS et ses annexes soient absolument utiles pour appréhender les circonstances à l'origine du manquement de devoir. Il faut relever que, non seulement, il n'était pas directement visé par la dénonciation du directeur de B______, mais aussi que ledit rapport n'a retenu aucun acte pénalement répréhensible à son encontre. Même l'ONEM dont l'autorité intimée invoque l'absence pour justifier l'intégration desdits documents dans le dossier personnel du recourant ne lui était pas destinée, eu égard à son statut de PADR au sens de l'art. 179 CPP. Compte tenu du volume de ces documents, il</w:t>
      </w:r>
    </w:p>
    <w:p>
      <w:r>
        <w:t>- 16/19 - A/3854/2023 n'est pas certain que les responsables RH prendraient le temps de les parcourir à la recherche des parties concernant sa situation personnelle. Si tel était le cas, rien ne permet de présumer que certaines notions juridiques et dispositions légales dont ils regorgent, à l'instar de la notion de PADR au sens de l'art. 178 let. d ou de l'art. 179 CPP, seraient aisées à comprendre pour des personnes pas forcément rompues à la procédure pénale. Dans ces conditions, on peut considérer que la présence des documents litigieux au dossier personnel du recourant est susceptible de lui être préjudiciable, ce d'autant plus que, selon la fiche MIOPE 01.07.10, le dossier personnel suit le collaborateur lors du transfert d'un département à un autre. En tant qu'éléments de procédure pénale, le rapport de l'IGS et ses annexes constituent enfin des données sensibles dont l'intégration au dossier personnel du recourant doit répondre entre autres à une nécessité impérieuse, exigence qui ne paraît pas remplie en l'espèce. Il n'apparaît par ailleurs pas – et l'autorité intimé ne le soutient pas – que la finalité du traitement des données contenues dans les documents visés ne pouvait être atteinte sans que ceux-ci soient intégrés au dossier personnel du recourant. Face au risque élevé pour la personnalité du recourant reconnu précédemment, le choix d'une option de traitement moins incisif aurait dû être privilégié. Il aurait suffi, par exemple, de rédiger une note de service reprenant les remarques conclusives du rapport de l'IGS, lesquels contiennent déjà un résumé des faits – y compris le rôle d'observateur reconnu au recourant –, un rappel de la directive dont le non-respect est invoqué dans le rappel à l'ordre, ainsi que l'existence d'un accord entre les gardiens de prison et les mineurs pour ne pas établir de rapport d'incident. Au vu de ce qui précède, la chambre de céans retiendra que l'accomplissement des tâches légales de l'autorité intimée ne rend pas absolument nécessaire l'intégration du rapport de l'IGS et de ses annexes dans le dossier personnel du recourant. Dite présence n'est par conséquent pas conforme au principe de la proportionnalité. La décision attaquée sera annulée sur ce point et renvoyée à l'autorité intimée afin qu'elle procède au retrait ou à la destruction du rapport de l'IGS et de ses annexes figurant dans le dossier du recourant.</w:t>
      </w:r>
    </w:p>
    <w:p>
      <w:r>
        <w:rPr>
          <w:b/>
        </w:rPr>
        <w:t>E. 4.11.3</w:t>
      </w:r>
    </w:p>
    <w:p>
      <w:r>
        <w:t>Le recourant demande le retrait du rappel des devoirs de service ou, à tout le moins, sa reformulation au motif que son premier paragraphe serait « quelque peu » équivoque. Il s’agit principalement de l’exercice de son droit à la rectification de données qu’il prétend non conformes au principe d'exactitude. Ayant déjà retenu que le traitement de ce document était licite et son retrait non justifié, seule reste à examiner la demande de rectification. Selon le recourant, le libellé du premier paragraphe dudit document laisse penser que le recourant est le destinataire d'une ONEM rendue à la suite de la dénonciation du directeur de B______ de l'usage de la force disproportionné, alors que tel n'a jamais été le cas. La teneur du paragraphe contesté se présente comme suit : « je me réfère à la décision de non-entrée en matière établie par le Procureur général, en lien avec la dénonciation du directeur de B______ de l'usage de la force</w:t>
      </w:r>
    </w:p>
    <w:p>
      <w:r>
        <w:t>- 17/19 - A/3854/2023 disproportionné lors de l'intervention de vos deux collègues en date du 11 mars 2022, alors que pour partie, vous étiez présent ». Utilisée à titre exceptionnel et pour autant qu'il s'agisse d'une non-entrée en matière totale, l'ONEM « par fichet » n'est rendue qu'en l'absence de partie à la procédure ou lorsqu'il se justifie de refuser de procéder immédiatement sans en informer les parties (directive du procureur général du canton de Genève du 1er novembre 2013 accessible par le lien suivant : https://justice.ge.ch/media/2021-02/directive-c.9- ordonnance-non-entree-matiere-fichet.pdf). En tant qu'elle relève de la poursuite pénale, rien ne permet de présumer qu'une référence à elle ne peut pas affecter directement ou indirectement l'appréciation subjective pouvant en être faite. En effet, la formulation de l'autorité intimée mentionnant l'ONEM alors que celle-ci ne figure pas au dossier personnel et n'est pas destinée au recourant est de nature à entretenir le soupçon ou, à tout le moins, l'impression que le recourant aurait pu être lui-même visé par les poursuites pénales. Il n'est donc pas adéquat pour situer le contexte sous-tendant la mesure de rappel à l'ordre. En revanche, le fait d'en faire état, par exemple, dans la note de service invoquée plus haut (voir supra : consid. 4.11.2) tout en prenant soin d'indiquer que les poursuites pénales ne visaient que les deux collègues ayant fait l'objet d'une dénonciation du directeur de B______, ne paraîtrait pas excessif. En conséquence, la demande de rectification sera admise et le dossier renvoyé à l'autorité intimée afin qu'elle établisse une nouvelle lettre de rappel des devoirs de service prenant en compte ces conclusions. Partiellement fondé, le recours sera ainsi admis.</w:t>
      </w:r>
    </w:p>
    <w:p>
      <w:r>
        <w:rPr>
          <w:b/>
        </w:rPr>
        <w:t>E. 5</w:t>
      </w:r>
    </w:p>
    <w:p>
      <w:r>
        <w:t>Vu l'issue du litige, un émolument réduit de CHF 300.- sera mis à la charge du recourant qui n'obtient que partiellement gain de cause (art. 87 al. 1 LPA). Une indemnité de procédure de CHF 1'000.- lui sera allouée (art. 87 al. 2 LPA). Le litige s'inscrit dans le contexte des rapports de service du recourant. Il concerne toutefois une contestation non pécuniaire (art. 83 let. a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