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ATA/953/2019 vom 28. Mai 2019</w:t>
      </w:r>
    </w:p>
    <w:p>
      <w:r>
        <w:t>GE Cour de justice, 2019-05-28, FR</w:t>
      </w:r>
    </w:p>
    <w:p>
      <w:r>
        <w:rPr>
          <w:b/>
        </w:rPr>
        <w:t xml:space="preserve">Quelle: </w:t>
      </w:r>
      <w:r>
        <w:t>https://mcp.opencaselaw.ch/entscheid/ge_gerichte_ATA_953_2019</w:t>
      </w:r>
    </w:p>
    <w:p>
      <w:r>
        <w:t>FR: GE_GERICHTE ATA/953/2019 du 28 mai 2019</w:t>
      </w:r>
    </w:p>
    <w:p>
      <w:r>
        <w:t>IT: GE_GERICHTE ATA/953/2019 del 28 maggio 2019</w:t>
      </w:r>
    </w:p>
    <w:p>
      <w:pPr>
        <w:pStyle w:val="Heading2"/>
      </w:pPr>
      <w:r>
        <w:t>Regeste</w:t>
      </w:r>
    </w:p>
    <w:p>
      <w:r>
        <w:t>Résumé: Irrecevabilité d'un recours pour déni de justice déposé contre un courrier des CFF refusant au recourants de conclure un bail concernant un local commercial sis dans les bâtiments attenant à la future gare des Eaux-Vives. L'intimée étant une société anonyme de droit public fédérale la chambre administrative de la Cour de justice n'était pas compétente pour examiner ses éventuelles décisions, que ce soit dans le cadre du droit des marchés publics ou de la loi sur le marché intérieur. Pas d'éléments permettant de retenir un participation d'une autorité cantonale au processus de locations de la surface commerciale litigieuse.</w:t>
      </w:r>
    </w:p>
    <w:p>
      <w:pPr>
        <w:pStyle w:val="Heading2"/>
      </w:pPr>
      <w:r>
        <w:t>Erwägungen</w:t>
      </w:r>
    </w:p>
    <w:p>
      <w:r>
        <w:rPr>
          <w:b/>
        </w:rPr>
        <w:t>E. 2</w:t>
      </w:r>
    </w:p>
    <w:p>
      <w:r>
        <w:t>LMI).</w:t>
      </w:r>
    </w:p>
    <w:p>
      <w:r>
        <w:t>La LMI vise à garantir à toute personne ayant son siège ou son établissement en Suisse l'accès libre et non discriminatoire au marché afin qu'elle puisse exercer une activité lucrative sur tout le territoire suisse (art. 1 al. 1 LMI).</w:t>
      </w:r>
    </w:p>
    <w:p>
      <w:r>
        <w:t>La voie de recours dont se prévalent les recourants ne concerne que les marchés genevois, condition qui n'est pas remplie par un éventuel marché créé par une entité fédérale. L'art. 9 al. 4 LMI prévoit d'ailleurs que pour les décisions rendues par des organes de la Confédération, les dispositions générales de la procédure administrative fédérale sont applicables.</w:t>
      </w:r>
    </w:p>
    <w:p>
      <w:r>
        <w:t>De surcroît, s'agissant du monopole invoqué par les recourants, l'art. 2 al. 7 LMI prévoit que la transmission de l'exploitation d'un monopole</w:t>
      </w:r>
    </w:p>
    <w:p>
      <w:r>
        <w:t>- 9/11 - A/1006/2019 cantonal ou communal à des entreprises privées doit faire l'objet d'un appel d'offres et ne peut discriminer des personnes ayant leur établissement ou leur siège en Suisse. Or, si un monopole de fait ou de droit existait en l'occurrence, ce qui n'est pas démontré, il serait fédéral et non cantonal ou communal comme l'exige la disposition précitée pour appliquer la LMI au litige. 6)</w:t>
      </w:r>
    </w:p>
    <w:p>
      <w:r>
        <w:t>Les recourants se prévalent encore du fait que dans le cadre de la liaison ferroviaire du CEVA, le canton de Genève et les CFF agiraient conjointement en raison d'une convention ou encore d'un partenariat public-privé, ce qui permettrait de fonder la compétence de la chambre de céans.</w:t>
      </w:r>
    </w:p>
    <w:p>
      <w:r>
        <w:t>a. La brochure « Perspective générale Genève » fait état d'une feuille de route présentant les grandes orientations de la mobilité ferroviaire jusqu'en 2035 (p. 4). Il y est par ailleurs indiqué que les souhaits touchant les infrastructures ferroviaires relevant de la compétence de l'office fédéral des transports, tant sur le plan de la rentabilité que du financement, ils ne pourront se concrétiser qu'avec l'accord préalable de cette instance fédérale (p. 26).</w:t>
      </w:r>
    </w:p>
    <w:p>
      <w:r>
        <w:t>Il appert également que ce sont les CFF, propriétaires de l'immeuble dans lequel l'arcade litigieuse va se situer, qui ont offert les surfaces du projet O'Vives à la location. La brochure susmentionnée précise notamment que s'agissant des développements immobiliers, autour la nouvelle gare des Eaux-Vives, l'investissement des CFF était d'environ CHF 8 millions (p. 14).</w:t>
      </w:r>
    </w:p>
    <w:p>
      <w:r>
        <w:t>Ces éléments ne permettent pas de retenir que le canton participerait à la construction de l’immeuble dans lequel se trouveront les surfaces commerciales litigieuses.</w:t>
      </w:r>
    </w:p>
    <w:p>
      <w:r>
        <w:t>b. Cela étant, même s'il existait une convention entre les CFF et l'État de Genève en vue de l'attribution d'un marché public dans le cadre de la liaison ferroviaire du CEVA portant sur la location des surfaces commerciales de la gare des Eaux-Vives, le litige serait alors de la compétence du TAF.</w:t>
      </w:r>
    </w:p>
    <w:p>
      <w:r>
        <w:t>En effet, cette juridiction s'est déjà déclarée compétente pour examiner les recours contre des décisions d'adjudication ou d'interruption de la procédure d'adjudication ou encore les décisions d'exclusion tombant sous le champ d'application de la LMP dans le cadre d'un marché public du projet CEVA (arrêt du TAF du 15 avril 2011 dans la cause B-7337/2010 consid. 1 à 4). Dans ce même arrêt, le TAF précise que le financement du projet CEVA est majoritairement supporté par les CFF et, de ce fait, dans le cadre des marchés publics, le droit fédéral est applicable bien que le second co-adjudicateur, à savoir le canton de Genève, soit soumis aux droits cantonal et intercantonal sur les marchés publics (arrêt du TAF B-7337/2010 précité consid. 4.1.1. et 4.1.2.).</w:t>
      </w:r>
    </w:p>
    <w:p>
      <w:r>
        <w:t>- 10/11 - A/1006/2019 7)</w:t>
      </w:r>
    </w:p>
    <w:p>
      <w:r>
        <w:t>Il découle de ce qui précède que la chambre administrative n'est pas compétente pour connaître du litige qui oppose les recourants aux CFF. En conséquence, le recours sera déclaré irrecevable.</w:t>
      </w:r>
    </w:p>
    <w:p>
      <w:r>
        <w:t>Au vu de cette issue, il ne sera pas donné suite aux diverses requêtes des recourants tels que l'appel en cause de l'État de Genève, la production de toute convention liant les CFF au canton de Genève en lien avec le projet O'Vives ainsi que l'audition de Mme BERCLAZ et de M. GRANGE, ces actes d'instruction concernant le fond du litige. 8)</w:t>
      </w:r>
    </w:p>
    <w:p>
      <w:r>
        <w:t>Le recours adressé à une autorité incompétente est transmis d'office à la juridiction administrative compétente et le recourant en est averti (art. 64 l. 1 LPA). Le litige pourrait éventuellement entrer dans le champ des compétences du TAF, question que devrait trancher ce dernier. Cette juridiction ayant toutefois déjà été saisie simultanément par les recourants, il sera renoncé à la transmission du recours à celle-ci (art. 64 al. 1 LPA). Il n’y a pas lieu non plus à un échange de vue avec le TAF, celui-ci ayant déjà exposé ses réserves quant à sa compétence, non pas en faveur de la chambre de céans, mais des juridictions civiles. 9)</w:t>
      </w:r>
    </w:p>
    <w:p>
      <w:r>
        <w:t>Vu l'issue du litige, un émolument de CHF 1'000.- sera mis à la charge conjointe et solidaire des recourants (art. 87 al. 1 LPA), et une indemnité de procédure de CHF 1'000.- sera allouée aux CFF, à la charge conjointe et solidaire des recourants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