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ATA/952/2024 vom 20. August 2024</w:t>
      </w:r>
    </w:p>
    <w:p>
      <w:r>
        <w:t>GE Cour de justice, 2024-08-20, FR</w:t>
      </w:r>
    </w:p>
    <w:p>
      <w:r>
        <w:rPr>
          <w:b/>
        </w:rPr>
        <w:t xml:space="preserve">Quelle: </w:t>
      </w:r>
      <w:r>
        <w:t>https://mcp.opencaselaw.ch/entscheid/ge_gerichte_ATA_952_2024</w:t>
      </w:r>
    </w:p>
    <w:p>
      <w:r>
        <w:t>FR: GE_GERICHTE ATA/952/2024 du 20 août 2024</w:t>
      </w:r>
    </w:p>
    <w:p>
      <w:r>
        <w:t>IT: GE_GERICHTE ATA/952/2024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Vu l’issue du litige, un émolument de CHF 900.- sera mis à la charge du recourant qui succombe (art. 87 al. 1 LPA). Aucune indemnité de procédure ne sera allouée (art. 87 al. 2 LPA). * * * * *</w:t>
      </w:r>
    </w:p>
    <w:p>
      <w:r>
        <w:rPr>
          <w:b/>
        </w:rPr>
        <w:t>E. 2.1</w:t>
      </w:r>
    </w:p>
    <w:p>
      <w:r>
        <w:t>Un changement de jurisprudence ne se justifie en principe que lorsque la nouvelle solution procède d'une meilleure compréhension de la ratio legis de la norme à appliquer, repose sur des circonstances de fait modifiées ou répond à l'évolution des conceptions juridiques ;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(ATF 145 III 303 consid. 4.1.2 ; 145 I 227 consid. 4). 2.2.1 La décision administrative est définie, en procédure administrative genevoise, à l’art. 4 al. 1 LPA. Il s’agit d’une mesure individuelle et concrète, prise par l’autorité dans les cas d’espèce fondée sur le droit public fédéral, cantonal,</w:t>
      </w:r>
    </w:p>
    <w:p>
      <w:r>
        <w:t>- 6/10 - A/3222/2023 communal et ayant pour objet, notamment, de créer, modifier ou annuler des droits ou obligations (let. a). 2.2.2 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 2.2.3 Constitue une décision finale, celle qui met un point final à la procédure, qu’il s’agisse d’une décision sur le fond ou d’une décision qui clôt l’affaire en raison d’un motif tiré des règles de la procédure (Pierre MOOR/Étienne POLTIER, Droit administratif, vol. 2, 3ème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 décision finale (ATF 139 V 42 consid. 2.3 ; arrêts du Tribunal fédéral 2C_567/2016 et 2C_568/2016 du 10 août 2017 consid. 1.3). 2.2.4 La chambre administrative a précisé à plusieurs reprises la nature de la décision du département par laquelle il ordonne de requérir une autorisation de construire, en application de la jurisprudence du Tribunal fédéral (1C_278/2017 du 10 octobre 2017 consid. 2.2 ; ATA/878/2023 du 22 août 2023 ; ATA/957/2020 du 29 septembre 2020 ; ATA/1548/2017 du 28 novembre 2017 ; ATA/362/2017 du 28 mars 2017 ; ATA/526/2016 et ATA/527/2016 du 21 juin 2016). Ainsi, et contrairement aux allégués du recourant, la nature incidente de la décision d'ordonner le dépôt d'une requête en autorisation de construire est ancienne et a été régulièrement confirmée par le Tribunal fédéral (1C_278/2017 du 10 octobre 2017 ; 1C_390/2016 du 5 septembre 2016 consid. 2.2 ; 1C_386/2013 du 28 février 2014 ; 1C_470/2008 du 11 novembre 2008 consid. 2.2). Il ressort de cette jurisprudence que ne peut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litigieuse ne met donc pas fin à la procédure mais constitue une simple étape dans le cours de celle-ci. Le Tribunal fédéral l'a encore confirmé récemment, dans une cause tessinoise (arrêt du Tribunal fédéral 1C_66/2023 du 23 février 2023 consid. 2.5).</w:t>
      </w:r>
    </w:p>
    <w:p>
      <w:r>
        <w:rPr>
          <w:b/>
        </w:rPr>
        <w:t>E. 2.3</w:t>
      </w:r>
    </w:p>
    <w:p>
      <w:r>
        <w:t>Les arguments du recourant ne sont pas nouveaux et ont déjà été écartés dans les différentes décisions susvisées, rendues dans des cas semblables. Les habiller</w:t>
      </w:r>
    </w:p>
    <w:p>
      <w:r>
        <w:t>- 7/10 - A/3222/2023 d'un vocabulaire différent ne leur donne pas plus de valeur. Il demeure en définitive que le département, saisi d'un état de fait pouvant relever de l'obligation de déposer une requête en autorisation de construire, doit ouvrir une procédure, identifiée par un numéro qui ne présume pas de son issue, afin d'établir les faits, sans qu'il soit possible de déterminer si sa décision de soumettre les travaux à la LDTR est acquise, ce qui ne ressort pas des termes de celle-ci, le département ne statuant à ce stade d’aucune façon sur la soumission ou non des travaux à la LDTR ou à la LCI. En outre, le fait de se conformer à la loi en sollicitant le versement d'un émolument ne constitue pas un indice permettant de conclure à l'existence d'une décision finale. Il n'est dès lors pas possible de retenir que le département aurait rendu une décision finale de soumission à la LDTR par sa décision querellée. En conséquence, conformément à la jurisprudence précitée, le recourant s'est vu notifier une décision lui ordonnant de déposer une requête en vue de régulariser sa situation, décision qui doit être qualifiée d'incidente. Le recourant ne propose pas d’arguments sérieux et nouveaux permettant un revirement de jurisprudence et, dans l'intérêt de la sécurité du droit, celle qui prévaut depuis de nombreuses années doit être maintenue. Le premier grief sera donc écarté.</w:t>
      </w:r>
    </w:p>
    <w:p>
      <w:r>
        <w:rPr>
          <w:b/>
        </w:rPr>
        <w:t>E. 2.4</w:t>
      </w:r>
    </w:p>
    <w:p>
      <w:r>
        <w:t>Le recourant fait valoir un préjudice irréparable.</w:t>
      </w:r>
    </w:p>
    <w:p>
      <w:r>
        <w:rPr>
          <w:b/>
        </w:rPr>
        <w:t>E. 2.4.1</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rPr>
          <w:b/>
        </w:rPr>
        <w:t>E. 2.4.2</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- 8/10 - A/3222/2023</w:t>
      </w:r>
    </w:p>
    <w:p>
      <w:r>
        <w:rPr>
          <w:b/>
        </w:rPr>
        <w:t>E. 2.4.3</w:t>
      </w:r>
    </w:p>
    <w:p>
      <w:r>
        <w:t>La chambre administrative a précisé à plusieurs reprises que l’art. 57 let. c LPA devait être interprété à la lumière de ces principes (ATA/231/2017 du 22 février 2017 consid. 3c et les références citées).</w:t>
      </w:r>
    </w:p>
    <w:p>
      <w:r>
        <w:rPr>
          <w:b/>
        </w:rPr>
        <w:t>E. 2.4.4</w:t>
      </w:r>
    </w:p>
    <w:p>
      <w:r>
        <w:t>En application de ceux-ci, la décision litigieuse ne cause aucun préjudice irréparable au recourant, qui ne subit qu'une prolongation de la procédure et les inconvénients qu’elle comporte, dont il n'expose pas en quoi ils seraient différents pour lui de ce qu'ils sont dans autant de cas semblables dans lesquels de tels dommages n'ont pas été retenus. Ce grief sera par conséquent écarté. 2.5.1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 2.5.2 En l’espèce, sans préjudice de l'examen au fond, le dossier rend vraisemblable, par les pièces et les photos produites, que le recourant a entrepris des travaux d'une certaine importance, concernant toutes les pièces de l'appartement loué, et n’a fourni aucune preuve permettant d’établir avec certitude leur nature exacte au regard de la LCI ou de la LDTR. Celle-ci doit ainsi être instruite et la chambre administrative n’est pas en mesure de rendre une décision qui trancherait la procédure au fond. Enfin, la durée de la procédure n'apparait pas démesurée, pouvant vraisemblablement être examinée sans expertise ou autre procédure extraordinaire longue et coûteuse, de sorte qu’elle ne s’écarte pas, par sa durée prévisible, d’une procédure ordinaire en la matière. La durée de la procédure se conçoit dès son ouverture, sans qu'importe le temps qui s’est écoulé avant qu’il en soit décidé. Le recourant n’explique pas par ailleurs à quels coûts extraordinaires il pourrait être confronté. Faute de remplir les conditions de l'art. 57 let. c LPA, le recours devant le TAPI est également irrecevable de ce point de vue et les arguments du recourant ne permettent pas de revenir sur une jurisprudence bien établie, conformément à ce qui a été exposé ci-dessus (cf. ad 2.3). Le second grief sera donc également écarté.</w:t>
      </w:r>
    </w:p>
    <w:p>
      <w:r>
        <w:t>- 9/10 - A/3222/2023 En déclarant le recours irrecevable, le TAPI n'a donc ni violé la loi ni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