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ATA/948/2022 vom 20. September 2022</w:t>
      </w:r>
    </w:p>
    <w:p>
      <w:r>
        <w:t>GE Cour de justice, 2022-09-20, FR</w:t>
      </w:r>
    </w:p>
    <w:p>
      <w:r>
        <w:rPr>
          <w:b/>
        </w:rPr>
        <w:t xml:space="preserve">Quelle: </w:t>
      </w:r>
      <w:r>
        <w:t>https://mcp.opencaselaw.ch/entscheid/ge_gerichte_ATA_948_2022</w:t>
      </w:r>
    </w:p>
    <w:p>
      <w:r>
        <w:t>FR: GE_GERICHTE ATA/948/2022 du 20 septembre 2022</w:t>
      </w:r>
    </w:p>
    <w:p>
      <w:r>
        <w:t>IT: GE_GERICHTE ATA/948/2022 del 20 settembre 2022</w:t>
      </w:r>
    </w:p>
    <w:p>
      <w:pPr>
        <w:pStyle w:val="Heading2"/>
      </w:pPr>
      <w:r>
        <w:t>Erwägungen</w:t>
      </w:r>
    </w:p>
    <w:p>
      <w:r>
        <w:rPr>
          <w:b/>
        </w:rPr>
        <w:t>E. 2</w:t>
      </w:r>
    </w:p>
    <w:p>
      <w:r>
        <w:t>avril 2001 consid. 2 et les arrêts cités). 4) a. Le gabarit de hauteur des constructions sises en 2ème zone est réglé aux art. 22 et ss LCI.</w:t>
      </w:r>
    </w:p>
    <w:p>
      <w:r>
        <w:t>b. Selon l'art. 22 LCI, les constructions ne doivent en aucun cas dépasser un gabarit limité par un alignement et une ligne verticale de façade dont la hauteur est définie à l’art. 23 LCI (al. 1). Le même gabarit doit être appliqué à toutes les faces d’une construction, à l’exception des murs en attente (al. 2).</w:t>
      </w:r>
    </w:p>
    <w:p>
      <w:r>
        <w:t>L'art. 23 LCI prévoit qu'à front ou en retrait des voies publiques ou privées, la hauteur du gabarit ne peut dépasser de plus de 3 m la distance fixée entre alignements (H ≤ D + 3) (al. 1). La hauteur du gabarit est calculée, par rapport aux limites de propriétés privées, conformément aux dispositions de l'art. 25 al. 1 (H ≤ 2D + 3) (al. 2). Afin de permettre la construction de logements supplémentaires, le département peut autoriser une augmentation de la hauteur du gabarit, à condition que celle-ci ne compromette pas l'harmonie urbanistique de la rue ; il est notamment tenu compte du gabarit des immeubles voisins (al. 3). Après consultation de la commune et de la CMNS, le département établit des cartes indicatives, par quartier, des immeubles susceptibles d'être surélevés. La délivrance d'une autorisation en application de l'al. 3 est subordonnée à l'adoption par le Conseil d'État de la carte applicable à l'immeuble concerné (al. 4). À front ou en retrait des voies publiques ou privées, la hauteur du gabarit ne peut toutefois pas dépasser de plus de 6 m la distance fixée entre alignements (H ≤ D + 6). La hauteur du gabarit est calculée, par rapport aux limites de propriétés privées, conformément aux dispositions de l'art. 25 al. 2 (H ≤ 2D + 6) (al. 5). La hauteur de la ligne verticale du gabarit ne peut dépasser nulle part 24 m (H ≤ 24). Afin de permettre la construction de logements supplémentaires au sens des al. 3 à 5, la hauteur de la ligne verticale du gabarit ne peut dépasser nulle part 30 m (H ≤ 30) (al. 6).</w:t>
      </w:r>
    </w:p>
    <w:p>
      <w:r>
        <w:t>c. Aux termes de l'art. 20 RCI, pour le calcul du gabarit, le point de référence au sol est mesuré conformément aux dispositions du plan d'aménagement ou des prescriptions du département ou, à défaut, à partir du niveau moyen du terrain naturel adjacent (al. 1). En bordure des voies en pente, le point de référence est mesuré à l'axe des sections de façades, conformément aux dispositions des art. 35 al. 2 et 63 al. 2 LCI (voir croquis n° VI) (al. 2). Le point de référence du sol du</w:t>
      </w:r>
    </w:p>
    <w:p>
      <w:r>
        <w:t>- 20/24 - A/804/2021 gabarit des constructions situées à l'angle de deux rues en pente est mesuré du niveau moyen des deux rues (al. 3). Pour les constructions basses ou de peu d’importance, édifiées à la limite de propriété, le niveau considéré est celui de la parcelle sur laquelle elles reposent (al. 4).</w:t>
      </w:r>
    </w:p>
    <w:p>
      <w:r>
        <w:t>Dans les quatre premières zones, les constructions doivent s'inscrire dans un gabarit théorique défini par le gabarit mesuré conformément aux dispositions de la loi pour chaque zone et le gabarit de toiture défini à l'art. 36 LCI (voir croquis n° I, II et III) (art. 21 al. 1 RCI).</w:t>
      </w:r>
    </w:p>
    <w:p>
      <w:r>
        <w:t>Tant sur rue que sur cour, les constructions ne doivent pas dépasser les gabarits figurés aux croquis nos I et II (voir également : modes de calcul, art. 20 à 31 RCI) (art. 230 RCI).</w:t>
      </w:r>
    </w:p>
    <w:p>
      <w:r>
        <w:t>d. L'art. 37 LCI, qui est une disposition commune aux quatre premières zones de construction, précise que sous réserve des dispositions de l’art. 10 LCI, les constructions d’angle ne peuvent avoir un gabarit différent du gabarit applicable au bloc auxquelles elles appartiennent, et cela sur une profondeur égale à celle de ce bloc (al. 1). Toutefois, sur préavis de la CA ou de la CMNS, le département peut déroger à cette disposition lorsqu’il est fait application de l’art. 21 al. 5 LCI (al. 2). En aucun cas cette profondeur ne peut dépasser 20 m (al. 3).</w:t>
      </w:r>
    </w:p>
    <w:p>
      <w:r>
        <w:t>Lorsqu’une construction, sans être à angle de rues, a des façades sur des rues de largeurs différentes, la hauteur de la ligne verticale du gabarit est fixée par les dimensions de la rue la plus large (art. 38 LCI).</w:t>
      </w:r>
    </w:p>
    <w:p>
      <w:r>
        <w:t>e.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(ATA/462/2020 du 7 mai 2020 consid.18 et les références citées).</w:t>
      </w:r>
    </w:p>
    <w:p>
      <w:r>
        <w:t>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w:t>
      </w:r>
    </w:p>
    <w:p>
      <w:r>
        <w:t>Chaque fois que l'autorité administrative suit les préavis des instances consultatives, les juridictions de recours observent une certaine retenue, lorsqu'il s'agit de tenir compte des circonstances locales ou de trancher de pures questions</w:t>
      </w:r>
    </w:p>
    <w:p>
      <w:r>
        <w:t>- 21/24 - A/804/2021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 5)</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6)</w:t>
      </w:r>
    </w:p>
    <w:p>
      <w:r>
        <w:t>En l'espèce, la recourante ne conteste pas que le gabarit côté quai E______ ait été défini par la largeur de ce quai, soit 21 m, comme relevé par le TAPI. Elle ne conteste pas non plus que ce gabarit puisse être appliqué côté rue D______, comme cela était déjà le cas en réalité. En effet, le gabarit du bâtiment resterait quasiment inchangé après construction.</w:t>
      </w:r>
    </w:p>
    <w:p>
      <w:r>
        <w:t>Elle ne peut toutefois pas être suivie lorsqu'elle soutient que la notion de « gabarit » ne concernerait que la hauteur de la façade du bâtiment.</w:t>
      </w:r>
    </w:p>
    <w:p>
      <w:r>
        <w:t>En effet, l'art. 22 al. 1 LCI définit la notion de « gabarit » en expliquant que celui-ci est limité par un alignement et une ligne verticale de façade. En outre, comme l'a justement retenu le TAPI, l'art. 37 al. 1 LCI prévoit expressément que les constructions d’angle ne peuvent avoir un « gabarit différent » de celui applicable au bloc auquel elles appartiennent, sur une profondeur égale à celle de ce bloc, mais de 20 m au maximum. Or, la référence à l'idée d'un « bloc », qui</w:t>
      </w:r>
    </w:p>
    <w:p>
      <w:r>
        <w:t>- 22/24 - A/804/2021 constitue forcément l'ensemble d'un bâtiment avec ses caractéristiques en hauteur et en largeur, permet de conclure que l'art. 37 LCI ne limite pas le report uniquement à la hauteur de la façade du bâtiment. En outre, l'idée de « profondeur » ne peut que se rapporter à la largeur du bâtiment par opposition à sa hauteur.</w:t>
      </w:r>
    </w:p>
    <w:p>
      <w:r>
        <w:t>Cette analyse est confirmée par la lecture d’autres dispositions de la LCI, notamment les art. 23 et 35 LCI, qui, elles, mentionnent spécifiquement les notions de « hauteur du gabarit » ou encore de « hauteur de la ligne verticale du gabarit ».</w:t>
      </w:r>
    </w:p>
    <w:p>
      <w:r>
        <w:t>Il est vrai que d'autres dispositions de la LCI, par exemple l'art. 11 al. 3 LCI, se limitent à la notion de « gabarit », pour exprimer que cette notion se rattache uniquement à une question de hauteur de l'immeuble. Néanmoins, les références aux notions de « bloc » et de « profondeur » contenues à l'art. 37 al. 1 LCI permettent d'exclure que cette disposition limite le report uniquement à la hauteur de la façade du bâtiment.</w:t>
      </w:r>
    </w:p>
    <w:p>
      <w:r>
        <w:t>Il apparaît ainsi que le législateur a effectué une dichotomie claire lorsqu'il a voulu préciser que la notion de « gabarit » devait exclusivement se rapporter à la hauteur.</w:t>
      </w:r>
    </w:p>
    <w:p>
      <w:r>
        <w:t>En outre et comme l'a retenu le TAPI, une comparaison intercantonale et intercommunale n'est d'aucun secours à la recourante. En effet, les dispositions cantonales vaudoises invoquées et les principes retenus par d'autres cantons ne sont pas déterminants s’agissant de l’application et de l’interprétation d’une disposition de droit cantonal genevois dont le texte est, quoi qu’en pense l'intéressée, clair.</w:t>
      </w:r>
    </w:p>
    <w:p>
      <w:r>
        <w:t>S'agissant de la question du point de départ des mesures de gabarits, qui aurait dû selon la recourante être calculé depuis son propre immeuble, les explications du département sur ce point sont convaincantes, en ce sens que même si son bâtiment avait dû servir d'alignement, la coupe C-C' annexée à son écriture du 7 mai 2021 démontre que la « largeur » du projet entrait dans le gabarit légal. Pour le surplus, le fait que le gabarit autorisé selon l’art. 23 LCI, fondé sur l’équation H ≤ D + 3, ne soit in casu pas respecté est précisément dû à l’application de l’art. 37 LCI, qui constitue une « lex specialis », comme retenu à nouveau à juste titre par le TAPI.</w:t>
      </w:r>
    </w:p>
    <w:p>
      <w:r>
        <w:t>Les griefs sont ainsi mal fondés.</w:t>
      </w:r>
    </w:p>
    <w:p>
      <w:r>
        <w:t>Enfin, il ressort du dossier que toutes les instances sollicitées ont délivré un préavis favorable, certaines sous conditions impératives à respecter, et ce après avoir sollicité des pièces complémentaires voire une modification du projet. Il en va ainsi par exemple de la DAC, du SMS ou encore de la CMNS, ce qui dénote</w:t>
      </w:r>
    </w:p>
    <w:p>
      <w:r>
        <w:t>- 23/24 - A/804/2021 d'un examen particulièrement minutieux du projet, notamment quant à la question du gabarit de l'immeuble en cause.</w:t>
      </w:r>
    </w:p>
    <w:p>
      <w:r>
        <w:t>C'est partant sans violer la loi, ni son pouvoir d'appréciation, ni tomber dans l'arbitraire, que le département, se fondant sur l'ensemble de ces préavis, a délivré l'autorisation de construire querellée, ce que le TAPI a confirmé à juste titre. 7)</w:t>
      </w:r>
    </w:p>
    <w:p>
      <w:r>
        <w:t>En tous points mal fondé, le recours sera rejeté. 8)</w:t>
      </w:r>
    </w:p>
    <w:p>
      <w:r>
        <w:t>Vu l’issue du litige, un émolument de CHF 1'500.- sera mis à la charge de la recourante, qui succombe (art. 87 al. 1 LPA) et une indemnité de procédure de CHF 1'500.- sera allouée à B______ à la charge de la recourante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