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ATA/947/2015 vom 16. September 2015</w:t>
      </w:r>
    </w:p>
    <w:p>
      <w:r>
        <w:t>GE Cour de justice, 2015-09-16, FR</w:t>
      </w:r>
    </w:p>
    <w:p>
      <w:r>
        <w:rPr>
          <w:b/>
        </w:rPr>
        <w:t xml:space="preserve">Quelle: </w:t>
      </w:r>
      <w:r>
        <w:t>https://mcp.opencaselaw.ch/entscheid/ge_gerichte_ATA_947_2015</w:t>
      </w:r>
    </w:p>
    <w:p>
      <w:r>
        <w:t>FR: GE_GERICHTE ATA/947/2015 du 16 septembre 2015</w:t>
      </w:r>
    </w:p>
    <w:p>
      <w:r>
        <w:t>IT: GE_GERICHTE ATA/947/2015 del 16 settembre 2015</w:t>
      </w:r>
    </w:p>
    <w:p>
      <w:pPr>
        <w:pStyle w:val="Heading2"/>
      </w:pPr>
      <w:r>
        <w:t>Erwägungen</w:t>
      </w:r>
    </w:p>
    <w:p>
      <w:r>
        <w:rPr>
          <w:b/>
        </w:rPr>
        <w:t>E. 26</w:t>
      </w:r>
    </w:p>
    <w:p>
      <w:r>
        <w:t>septembre 2010 - LOJ - E 2 05 ; art. 62 al. 1 LPA).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w:t>
      </w:r>
    </w:p>
    <w:p>
      <w:r>
        <w:t>- 8/10 - A/2834/2015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- 9/10 - A/2834/2015 8)</w:t>
      </w:r>
    </w:p>
    <w:p>
      <w:r>
        <w:t>L'exploitation de tout établissement régi par la loi sur la restauration, le débit de boissons et l’hébergement du 17 décembre 1987 (LRDBH - I 2 21) est soumise à l'obtention préalable d'une autorisation d'exploiter délivrée par le département de la sécurité et de l’économie (art. 4 LRDBH et 1 al. 1 du règlement d’exécution de la loi sur la restauration, le débit de boissons et l’hébergement du 31 août 1988 (RRDBH - I 2 21.01). Le Scom reçoit et instruit les requêtes et délivre les autorisations prévues par la LRDBH (art 1 al. 2 RRDBH). En principe, toutes les décisions sont notifiées par écrit. En cas d’imprévu ou d’urgence, une décision peut être notifiée oralement; dans ce cas, elle doit être confirmée par écrit (art 8 al. 2 RRDBH). 9)</w:t>
      </w:r>
    </w:p>
    <w:p>
      <w:r>
        <w:t>En l'espèce, la décision contestée rejette la requête du 16 décembre 2014 déposée en vue de l’obtention d’une autorisation d’exploiter une buvette permanente. S’il est exact qu’il semble que ceux-ci aient pu exploiter l’établissement pendant une certaine période, la recourante fait elle-même référence, dans sa correspondance du 16 décembre 2014, à la « décision de caducité » prise par le SCOM. La décision litigieuse a donc un contenu purement négatif, puisqu'elle refuse d'octroyer une autorisation dont les recourants n'étaient plus titulaires auparavant.</w:t>
      </w:r>
    </w:p>
    <w:p>
      <w:r>
        <w:t>Les conclusions en octroi d’effet suspensif ne peuvent qu’être rejetées.</w:t>
      </w:r>
    </w:p>
    <w:p>
      <w:r>
        <w:t>Les recourants ne prennent pas de conclusions ni n’argumentent sur d’éventuelles mesures provisionnelles. Toutefois, même à analyser leur requête sous cet angle, celles-ci devraient être refusées. La recourante ne peut se voir accorder par le biais de mesures provisionnelles un régime juridique dont elle n’a pas bénéficié auparavant, en l’occurrence l’autorisation d’exploiter, le maintien d'une situation antérieure illégale n'apparaissant en outre pas comme un intérêt digne d'être protégé et donc prépondérant. Accorder une telle autorisation reviendrait ainsi à admettre à titre préjudiciel que les conditions sont satisfaites, ce qui n'est pourtant, le cas échéant, possible qu'à l'issue du présent litige. Le préjudice financier dont font état les recourants ne saurait dès lors faire échec à ce constat, qui va du reste dans le sens de la jurisprudence récente de la chambre de céans (ATA/15/2014 du 8 janvier 2014 et ATA/967/2014 du 5 décembre 2014 rendu dans des cas portant sur la condition personnelle d'honorabilité ; ATA/3628 du 19 décembre 2014).</w:t>
      </w:r>
    </w:p>
    <w:p>
      <w:r>
        <w:t>Les mesures provisionnelles ne peuvent dès lors qu'être refusées sans qu’il ne soit nécessaire d’examiner plus avant les autres arguments de la recourante. 10) Dès lors, la demande de restitution de l'effet suspensif et l’octroi de mesures provisionnelles seront rejetés, et le sort des frais sera réservé jusqu'à droit jugé au fond.</w:t>
      </w:r>
    </w:p>
    <w:p>
      <w:r>
        <w:t>Vu l’art. 66 al. 3 de la loi sur la procédure administrative du 12 septembre 1985 ;</w:t>
      </w:r>
    </w:p>
    <w:p>
      <w:r>
        <w:t>vu l’art. 7 al. 1 du règlement de la chambre administrative du 21 décembre 2010 ;</w:t>
      </w:r>
    </w:p>
    <w:p>
      <w:r>
        <w:t>- 10/10 - A/2834/2015 LA CHAMBRE ADMINISTRATIVE rejette la requête en mesures provisionnelles et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Philippe Bonnefous, avocat de la recourante, ainsi qu'au service du commerce.</w:t>
      </w:r>
    </w:p>
    <w:p>
      <w:r>
        <w:t>Le président : 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