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ATA/946/2014 vom 2. Dezember 2014</w:t>
      </w:r>
    </w:p>
    <w:p>
      <w:r>
        <w:t>GE Cour de justice, 2014-12-02, FR</w:t>
      </w:r>
    </w:p>
    <w:p>
      <w:r>
        <w:rPr>
          <w:b/>
        </w:rPr>
        <w:t xml:space="preserve">Quelle: </w:t>
      </w:r>
      <w:r>
        <w:t>https://mcp.opencaselaw.ch/entscheid/ge_gerichte_ATA_946_2014</w:t>
      </w:r>
    </w:p>
    <w:p>
      <w:r>
        <w:t>FR: GE_GERICHTE ATA/946/2014 du 2 décembre 2014</w:t>
      </w:r>
    </w:p>
    <w:p>
      <w:r>
        <w:t>IT: GE_GERICHTE ATA/946/2014 del 2 dicembre 2014</w:t>
      </w:r>
    </w:p>
    <w:p>
      <w:pPr>
        <w:pStyle w:val="Heading2"/>
      </w:pPr>
      <w:r>
        <w:t>Regeste</w:t>
      </w:r>
    </w:p>
    <w:p>
      <w:r>
        <w:t>Résumé: Recourant - gardien principal - sanctionné d'un blâme pour ne pas avoir rapporté à sa hiérarchie un coup donné par le gardien principal adjoint à un détenu. L'impératif de célérité commande de ne pas suspendre la présente procédure dans l'attente de droit jugé au pénal. En ne rapportant pas le fait précité à sa hiérarchie, le recourant ne s'est pas montré diligent et consciencieux dans l'exécution de son travail. Le blâme est conforme au cadre légal et respecte le principe de proportionnalité. Recours rejeté.</w:t>
      </w:r>
    </w:p>
    <w:p>
      <w:pPr>
        <w:pStyle w:val="Heading2"/>
      </w:pPr>
      <w:r>
        <w:t>Erwägungen</w:t>
      </w:r>
    </w:p>
    <w:p>
      <w:r>
        <w:rPr>
          <w:b/>
        </w:rPr>
        <w:t>E. 26</w:t>
      </w:r>
    </w:p>
    <w:p>
      <w:r>
        <w:t>juin 2012 ; ATA/276/2012 du 8 mai 2012 consid. 2 et les arrêts cités). Ce moyen doit par conséquent être examiné en premier lieu (ATF 137 I 195 consid. 2.2). Sa portée est déterminée en premier lieu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Thierry TANQUEREL, Manuel de droit administratif, 2011, n. 1526 ; Andreas AUER/Giorgio MALINVERNI/Michel HOTTELIER, Droit constitutionnel suisse, vol. 2, 3ème éd., 2013, n. 1328 ss). Quant à l'art. 6 § 1 CEDH, il n'accorde pas au justiciable, selon le Tribunal fédéral, de garanties plus</w:t>
      </w:r>
    </w:p>
    <w:p>
      <w:r>
        <w:t>- 12/17 - A/2952/2012 étendues que celles découlant de l'art. 29 al. 2 Cst. (arrêts du Tribunal fédéral 6B_24/2010 du 20 mai 2010 consid. 1 ; 4P.206/2005 du 11 novembre 2005 consid. 2.1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 4.1.1 ; 8C_643/2011 du 9 mars 2012 c. 4.3 et les références citées ; 1C_161/2010 du 21 octobre 2010 consid. 2.1 ; 5A_150/2010 du 20 mai 2010 consid. 4.3 ; ATA/276/2012 précité consid. 2 et les arrêts cités). 9)</w:t>
      </w:r>
    </w:p>
    <w:p>
      <w:r>
        <w:t>Dans le cas d'espèce, la convocation adressée au recourant indiquait qu'il était convoqué par le directeur afin de pouvoir s'exprimer sur les événements du 22 février 2012, soit l'incarcération, les modalités de placement en cellule forte, le recours à la contrainte, les causes des blessures constatées sur le détenu concerné et l'éventuelle violation des art. 8 et 9 let. g ROPP. Les éléments discutés ont été transcrits, et une copie en a été adressée au recourant. Le recourant a donc pu faire valoir son point de vue pendant l'entretien de service et même après, dans la mesure où il a formulé des observations sur ce qui avait été retenu. De plus, il ressort de la décision querellée que ses observations ont été reprises lors du prononcé de la sanction.</w:t>
      </w:r>
    </w:p>
    <w:p>
      <w:r>
        <w:t>Partant, rien ne permet de retenir une violation du droit d'être entendu du fait que les articles de loi n'aient pas été indiqués sur la convocation à l'entretien de service. Mal fondé, ce grief sera écarté. 10) Il est fait grief à l'intimée d'avoir établi les faits de manière inexacte. 11) La procédure administrative est régie par la maxime inquisitoire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ATA/792/2012 du 20 novembre 2012 consid. 6a ; ATA/797/2010 du 16 novembre 2010 ; ATA/649/2010 du 21 septembre 2010 ; ATA/532/2010 du 4 août 2010 ; ATA/669/2009 du 15 décembre 2009 et les références citées).</w:t>
      </w:r>
    </w:p>
    <w:p>
      <w:r>
        <w:t>- 13/17 - A/2952/2012 12) Dans le cas d'espèce, le directeur s'est fondé sur les rapports établis lors des faits litigieux, les déclarations des sept gardiens présents ainsi que les vidéosurveillances. Les versions des gardiens étaient en substance convergentes. Les rapports établis avaient été visés par le recourant. Les éléments de preuves précités venaient ainsi compléter les propos du recourant, desquels ressortait qu'il admettait ne pas avoir établi de rapport suite aux événements de la mise en cellule forte, notamment suite aux insultes et menaces proférées par le détenu à l'encontre de M. Z______ et au coup porté par ce dernier au détenu. Aucune preuve contraire n'ayant été apportée, il ne peut être que constaté que les faits ont été retenus de manière exacte. Ce grief sera donc écarté. 13) a. L'art. 1 al. 1 LOPP détermine l’organisation de la prison, ainsi que les droits et obligations du personnel.</w:t>
      </w:r>
    </w:p>
    <w:p>
      <w:r>
        <w:t>Le personnel comprend notamment les fonctionnaires de la prison dont les gardiens (art 3 al. 1 let. a ch. 5 LOPP).</w:t>
      </w:r>
    </w:p>
    <w:p>
      <w:r>
        <w:t>b. Les gardiens et les surveillants doivent faire preuve d’une diligence constante dans l’exercice de leurs fonctions (art. 12 ROPP).</w:t>
      </w:r>
    </w:p>
    <w:p>
      <w:r>
        <w:t>c. Le fonctionnaire signale immédiatement à son supérieur hiérarchique ou à la direction (art. 19 al. 1 ROPP) : toute évasion ou tentative d’évasion, toute tentative de corruption et tout autre événement grave (let. a) ; toute irrégularité dans le fonctionnement du service et tout dommage causé à l’établissement (let. b) ; tout fait ou comportement suspect (let. c). Le sous-chef de service fait rapport à la direction (art. 19 al. 2 ROPP).</w:t>
      </w:r>
    </w:p>
    <w:p>
      <w:r>
        <w:t>d. La loi générale relative au personnel de l’administration cantonale, du pouvoir judiciaire et des établissements publics médicaux du 4 décembre 1997 (LPAC - B 5 05) et le RPAC sont applicables à titre subsidiaire et sous réserve des nécessités du service (art. 29 ROPP).</w:t>
      </w:r>
    </w:p>
    <w:p>
      <w:r>
        <w:t>e. Les devoirs du personnel sont énumérés aux art. 20 ss RPAC.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de permettre et de faciliter la collaboration entre ces personnes (art. 21 let. a RPAC).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RPAC). Les membres du personnel chargés de fonctions d’autorité sont tenus, en outre de diriger leurs subordonnés, d’en coordonner et contrôler l’activité (art. 23 let. b RPAC).</w:t>
      </w:r>
    </w:p>
    <w:p>
      <w:r>
        <w:t>- 14/17 - A/2952/2012 14) a. Les peines disciplinaires qui peuvent être infligées au personnel de la prison sont, suivant la gravité du cas, le blâme (art. 17 al. 1 let a LOPP), les services supplémentaires (let. b), la réduction du traitement pour une durée déterminée (let. c), la dégradation (let. d) et la révocation (let. e). Le directeur est compétent pour prononcer le blâme et les services supplémentaires. La réduction de traitement pour une durée déterminée est prononcée par le chef du département ; la dégradation et la révocation par le Conseil d'État (art. 17 al. 2 et 3 LOPP).</w:t>
      </w:r>
    </w:p>
    <w:p>
      <w:r>
        <w:t>Avant le prononcé du blâme et des services supplémentaires, l'intéressé est entendu par l'autorité compétente au sens de l'art. 17 LOPP, et invité à se déterminer sur les faits qui lui sont reprochés. Il peut se faire assister d'un représentant de son association professionnelle. La décision est prise par écrit (art. 18 al. 1 LOPP). Le prononcé d'une peine disciplinaire autre que le blâme et les services supplémentaires est notifié à l'intéressé par arrêté motivé, avec indication du délai et de l'autorité de recours (art. 18 al. 6 LOPP). La responsabilité disciplinaire se prescrit par un an après la découverte de la violation des devoirs de service et en tout cas par cinq ans après la dernière violation. La prescription est suspendue, le cas échéant, pendant la durée de l'enquête administrative (art. 18 al. 7 LOPP).</w:t>
      </w:r>
    </w:p>
    <w:p>
      <w:r>
        <w:t>b. Les sanctions disciplinaires sont régies par les principes généraux du droit pénal, de sorte qu’elles ne sauraient être prononcées en l’absence d’une faute. La notion de faute est cependant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w:t>
      </w:r>
    </w:p>
    <w:p>
      <w:r>
        <w:t>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(ATA/605/2011 du 27 septembre 2011).</w:t>
      </w:r>
    </w:p>
    <w:p>
      <w:r>
        <w:t>- 15/17 - A/2952/2012 15) En l’espèce, le recourant a été entendu et a admis avoir de prime abord considéré le geste du gardien principal adjoint comme un geste de gravité relative et proportionné compte tenu du comportement agressif du détenu. Il a toutefois par la suite reconnu ne pas avoir réagi de manière appropriée lors des événements en ne rapportant pas à sa hiérarchie les faits tels qu'ils se sont déroulés. De par sa fonction de gardien principal, il doit diriger ses subordonnés, coordonner et contrôler leur activité ; ainsi, il aurait dû être attentif au transport du détenu en cellule forte, dès lors qu'il l'avait ordonné et qu'il avait été avisé de son comportement menaçant et injurieux, par les gardiens notamment. Suite à la mise en cellule forte du détenu, M. Z______ a informé le recourant avoir porté un coup à ce dernier, mais le recourant ne l'a pas rapporté à sa hiérarchie. Dans la mesure où le recourant a admis lui-même s'être rendu compte par la suite que son comportement n'avait pas été adéquat, et qu'il aurait dû établir un rapport suite au coup de pied, une faute a consciemment été commise. Le recourant ne s'est dès lors pas montré diligent et consciencieux dans l'exécution de son travail, ayant incontestablement occulté de rapporter des faits qu'il considère lui-même comme non ordinaires, alors que la loi lui commande expressément de rapporter toute irrégularité.</w:t>
      </w:r>
    </w:p>
    <w:p>
      <w:r>
        <w:t>Au vu de la faute commise et du comportement adopté par le recourant, les art. 12 et 19 ROPP, les art. 20, 21 let. c, 22 al. 1, et 23 let. b RPAC ont été violés, si bien que le principe d'une sanction disciplinaire doit être confirmé. 16) En matière de sanctions disciplinaires, l’autorité dispose d’un large pouvoir d’appréciation ; le pouvoir d’examen de la chambre de céans se limite à l’excès ou l’abus du pouvoir d’appréciation (art. 61 al. 2 LPA ; ATA/267/2013 du 30 avril 2013 et les références citées). 17) Au vu de la violation manifeste, par le recourant de ses obligations légales, le directeur a fait bon usage de son large pouvoir d’appréciation, dont seul l’excès ou l’abus peut être revu par la chambre de céans.</w:t>
      </w:r>
    </w:p>
    <w:p>
      <w:r>
        <w:t>La sanction est conforme au cadre légal et respecte le principe de proportionnalité, dès lors que le blâme constitue la sanction la plus légère prévue par la LOPP. 18) Au vu de ce qui précède, le recours sera rejeté. 19) Vu l’issue du litige, un émolument de CHF 1'000.- sera mis à la charge du recourant (art. 87 al. 1 LPA), et aucune indemnité de procédure ne lui sera allouée (art. 87 al. 2 LPA). * * * * *</w:t>
      </w:r>
    </w:p>
    <w:p>
      <w:r>
        <w:t>- 16/17 - A/2952/2012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