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ATA/942/2021 vom 14. September 2021</w:t>
      </w:r>
    </w:p>
    <w:p>
      <w:r>
        <w:t>GE Cour de justice, 2021-09-14, FR</w:t>
      </w:r>
    </w:p>
    <w:p>
      <w:r>
        <w:rPr>
          <w:b/>
        </w:rPr>
        <w:t xml:space="preserve">Quelle: </w:t>
      </w:r>
      <w:r>
        <w:t>https://mcp.opencaselaw.ch/entscheid/ge_gerichte_ATA_942_2021</w:t>
      </w:r>
    </w:p>
    <w:p>
      <w:r>
        <w:t>FR: GE_GERICHTE ATA/942/2021 du 14 septembre 2021</w:t>
      </w:r>
    </w:p>
    <w:p>
      <w:r>
        <w:t>IT: GE_GERICHTE ATA/942/2021 del 14 settembre 2021</w:t>
      </w:r>
    </w:p>
    <w:p>
      <w:pPr>
        <w:pStyle w:val="Heading2"/>
      </w:pPr>
      <w:r>
        <w:t>Erwägungen</w:t>
      </w:r>
    </w:p>
    <w:p>
      <w:r>
        <w:rPr>
          <w:b/>
        </w:rPr>
        <w:t>E. 12</w:t>
      </w:r>
    </w:p>
    <w:p>
      <w:r>
        <w:t>septembre 1985 - LPA - E 5 10). 2)</w:t>
      </w:r>
    </w:p>
    <w:p>
      <w:r>
        <w:t>À titre liminaire, dans son acte de recours du 18 janvier 2021, la recourante sollicite l'audition de plusieurs témoins, ainsi que celle des parties, afin d'étayer ses allégués.</w:t>
      </w:r>
    </w:p>
    <w:p>
      <w:r>
        <w:t>a. Tel qu’il est garanti par l’art. 29 al. 2 de la Constitution fédérale de la Confédération suisse du 18 avril 1999 (Cst. - RS 101),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arrêt du Tribunal fédéral 1C_467/2020 du</w:t>
      </w:r>
    </w:p>
    <w:p>
      <w:r>
        <w:rPr>
          <w:b/>
        </w:rPr>
        <w:t>E. 14</w:t>
      </w:r>
    </w:p>
    <w:p>
      <w:r>
        <w:t>juin 2021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1C_467/2020 précité consid. 4.1).</w:t>
      </w:r>
    </w:p>
    <w:p>
      <w:r>
        <w:t>- 20/30 - A/220/2021</w:t>
      </w:r>
    </w:p>
    <w:p>
      <w:r>
        <w:t>b. En l'espèce, l'intéressée a été entendue à plusieurs reprises par sa hiérarchie, à tout le moins lors des entretiens des 17 juin et 28 octobre 2020, lesquels ont fait l'objet respectivement d'un résumé et d'un procès-verbal. Elle a également pu faire valoir ses observations par écrit à ces occasions, lesquelles figurent à son dossier versé à la présente procédure par l'intimée.</w:t>
      </w:r>
    </w:p>
    <w:p>
      <w:r>
        <w:t>Au cours de la procédure de recours, les deux parties ont à nouveau pu s'exprimer à plusieurs reprises par écrit en produisant de nouvelles pièces. Dans ce contexte, il apparaît que la chambre de céans dispose d'un dossier complet lui permettant de trancher le litige en connaissance de cause, sans qu'il soit nécessaire de procéder aux auditions sollicitées. Ces dernières n'apporteraient au surplus pas d'éléments déterminants in casu, vu la nature des reproches formulés à l'endroit de la recourante, ayant principalement trait à la qualité de son travail.</w:t>
      </w:r>
    </w:p>
    <w:p>
      <w:r>
        <w:t>Par conséquent, il ne sera pas fait droit aux demandes d'actes d'instruction complémentaires. 3)</w:t>
      </w:r>
    </w:p>
    <w:p>
      <w:r>
        <w:t>Le litige porte sur la conformité au droit de la décision de l'intimée du 3 décembre 2020 de résilier les rapports de service de la recourante avec effet au 31 mars 2021, en libérant l'intéressée de son obligation de travailler et incluant son solde de vacances et d'heures supplémentaires non prises dans le délai de résiliation. 4) a. Aux termes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w:t>
      </w:r>
    </w:p>
    <w:p>
      <w:r>
        <w:t>b. La juridiction administrative applique le droit d'office et ne peut aller au- delà des conclusions des parties, sans pour autant être liée par les motifs invoqués (art. 69 al. 1 LPA). 5)</w:t>
      </w:r>
    </w:p>
    <w:p>
      <w:r>
        <w:t>Dans un premier grief, la recourante, demandant la révocation de la décision de report de nomination du 17 décembre 2019 et sa nomination en tant que fonctionnaire avec effet rétroactif au 8 janvier 2020, invoque l'absence de réorganisation motivant un transfert et justifiant une prolongation de la période probatoire.</w:t>
      </w:r>
    </w:p>
    <w:p>
      <w:r>
        <w:t>a. Les décisions administratives peuvent être remises en cause dans un certain délai par les moyens de droit contentieux (Thierry TANQUEREL, Manuel de droit administratif, 2018, p. 417, n. 1'247, et p. 476 n. 1'414), soit par la voie du recours ou de l’opposition.</w:t>
      </w:r>
    </w:p>
    <w:p>
      <w:r>
        <w:t>Elles peuvent être reconsidérées par l’autorité décisionnaire pendant le délai de recours et pendant une partie de la procédure contentieuse (Thierry</w:t>
      </w:r>
    </w:p>
    <w:p>
      <w:r>
        <w:t>- 21/30 - A/220/2021 TANQUEREL, op. cit., p. 476 n. 1'414). Cette situation, en droit genevois, est réglée par l’art. 67 al. 2 LPA, lequel autorise l’autorité décisionnaire, en cours de procédure, à reconsidérer ou retirer sa décision.</w:t>
      </w:r>
    </w:p>
    <w:p>
      <w:r>
        <w:t>b. Lorsqu’une décision est entrée en force, elle peut tout de même être reconsidérée par l’autorité, mais ceci à des conditions restrictives afin d’assurer la sécurité du droit. Hormis les cas dans lesquels une décision peut ou doit être révoquée, un administré a la faculté de s’adresser à l’autorité décisionnaire pour lui demander de l’annuler ou de la modifier (Thierry TANQUEREL, op. cit., p. 476 n. 1'415). Une telle faculté ne lui permet cependant pas, alors que sa situation a été réglée par une décision entrée en force de la remettre continuellement en question (ATF 136 II 177). Dès lors, il n’a aucun droit à ce que l’autorité entre en matière sur sa demande, sauf si une telle obligation résulte de la loi (ATF 120 1b 42 ; Thierry TANQUEREL, op. cit., p. 477 n. 1'417).</w:t>
      </w:r>
    </w:p>
    <w:p>
      <w:r>
        <w:t>En droit genevois, l’obligation de reconsidération d’une décision par l’autorité qui l’a prise est réglée à l’art. 48 LPA.</w:t>
      </w:r>
    </w:p>
    <w:p>
      <w:r>
        <w:t>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w:t>
      </w:r>
    </w:p>
    <w:p>
      <w:r>
        <w:t>Aux termes de l'art. 80 let. a à b LPA, il y a lieu à révision d'une décision judiciaire lorsque dans une affaire réglée par une décision définitive, il apparaît que la décision a été influencée par un crime ou un délit établi par une procédure pénale ou d'une autre manière (let. a) ou qu’il existe des faits ou des moyens de preuve nouveaux et importants que le recourant ne pouvait connaître ou invoquer dans la procédure précédente (let. b).</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p. 480 n. 1'430).</w:t>
      </w:r>
    </w:p>
    <w:p>
      <w:r>
        <w:t>c. Selon l’art. 29a Cst., toute personne a le droit à ce que sa cause soit jugée par une autorité judiciaire, sauf exceptions prévues dans une loi par la Confédération ou les cantons. Il doit s’agir d’un tribunal compétent, impartial et indépendant (art. 30 al. 1 Cst.).</w:t>
      </w:r>
    </w:p>
    <w:p>
      <w:r>
        <w:t>Le Tribunal fédéral admet depuis 1877 que le droit d’obtenir justice est un droit fondamental ancré dans la constitution (ATF 3 425 ; Andreas AUER/Giorgio</w:t>
      </w:r>
    </w:p>
    <w:p>
      <w:r>
        <w:t>- 22/30 - A/220/2021 MALINVERNI/Michel HOTTELIER, Droit constitutionnel suisse, 3ème éd. volume II, 2013, p. 564, n°1212).</w:t>
      </w:r>
    </w:p>
    <w:p>
      <w:r>
        <w:t>L’art. 29a Cst. poursuit le but de soumettre les actes de l’administration à un contrôle juridictionnel pour permettre au particulier de pouvoir saisir une autorité indépendante en étant assuré de bénéficier de certaines garanties procédurales (ATF 130 I 312 consid. 4.2). En particulier, il confère à chaque justiciable le droit de se prévaloir des recours judiciaires existants (Andreas AUER/Giorgio MALINVERNI/Michel HOTTELIER, op. cit., p. 565 n. 1'216). Les voies de droit à sa disposition doivent lui permettre de soumettre sa cause à un juge investi d’un pouvoir d’examen entier (Andreas AUER/Giorgio MALINVERNI/Michel HOTTELIER, op. cit., p. 567 n. 1'220). La garantie conférée par l’art. 29a Cst. interdit à l’autorité judiciaire saisie d’une requête, de ne pas la traiter (Andreas AUER/Giorgio MALINVERNI/Michel HOTTELIER, p. 572 n. 1'232).</w:t>
      </w:r>
    </w:p>
    <w:p>
      <w:r>
        <w:t>d. Le recours est formé par écrit et adressé à la juridiction administrative appelée à en connaître (art. 64 al. 1 LPA). Si celui-ci est adressé à une autorité incompétente, il est transmis d’office à la juridiction administrative compétente et le recourant en est averti. L’acte est réputé déposé à la date à laquelle il a été adressé à la première autorité (art. 64 al. 2 LPA). Selon la jurisprudence, il faut entendre par « autorité incompétente », soumise à l’obligation de transmission, toute autorité fédérale, cantonale ou communale, indépendamment de point de savoir si celle à qui l’on s’adresse se trouve dans un rapport direct avec l’affaire en cause (ATF 97 I 852 consid. 3 ; arrêt du Tribunal fédéral 9C_885/2009 du 1er février 2010). Sont réservés les cas où l'acte a été mal adressé de manière abusive (ATF 111 V 406 consid. 2 ; ATA/324/2018 du 10 avril 2018 consid. 7 ; ATA/715/2016 du 23 août 2016 consid. 2b).</w:t>
      </w:r>
    </w:p>
    <w:p>
      <w:r>
        <w:t>Sont réputées autorités administratives au sens de l’art. 1 LPA, les institutions, corporations et établissements de droit public (art. 5 let. e LPA).</w:t>
      </w:r>
    </w:p>
    <w:p>
      <w:r>
        <w:t>L’Imad, de droit public, assure des prestations pour le maintien à domicile et l’autonomie des personnes (art. 174A al. 1 de la Constitution de la République et canton de Genève du 14 octobre 2012 - Cst-GE - A 2 00).</w:t>
      </w:r>
    </w:p>
    <w:p>
      <w:r>
        <w:t>e. 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w:t>
      </w:r>
    </w:p>
    <w:p>
      <w:r>
        <w:t>- 23/30 - A/220/2021 temps, le cas échéant dans un bref délai (ATF 125 I 166 consid. 3a ; 124 II 265 consid. 4a et les arrêts cités ; arrêts du Tribunal fédéral 1C_39/2013 du 11 mars 2013 consid. 2.1 et 2.3 ; 2C_165/2012 du 29 mai 2012 consid. 5.1 ; ATA/557/2014 du 17 juillet 2014 consid. 5).</w:t>
      </w:r>
    </w:p>
    <w:p>
      <w:r>
        <w:t>f. En l'occurrence, la chambre administrative constate que la recourante s'est opposée le 17 janvier 2020 à la décision de l'intimée de reporter sa nomination en qualité de fonctionnaire, en raison de la prolongation de sa période probatoire, qui lui a été envoyée le 17 décembre 2019 et non pas le 17 janvier 2019 tel qu'erronément indiqué. Agissant sans l'assistance d'un mandataire, elle a adressé ce courrier, susceptible de valoir recours, non pas à l'instance de recours désignée dans ladite décision, mais à l'autorité décisionnaire. Elle a toutefois agi dans le délai légal de trente jours de l'art. 62 al. 1 et. a LPA, compte tenu de la suspension des délais entre le 18 décembre au 2 janvier inclusivement découlant de l'art. 63 LPA.</w:t>
      </w:r>
    </w:p>
    <w:p>
      <w:r>
        <w:t>La direction générale de l'Imad n'a toutefois pas transmis ce courrier à la chambre de céans, mais l'a traité comme une demande de reconsidération sur laquelle elle a refusé d'entrer en matière le 31 janvier 2020. Dans le cadre de la présente procédure, l'intimée fait ainsi valoir que la décision précitée du</w:t>
      </w:r>
    </w:p>
    <w:p>
      <w:r>
        <w:rPr>
          <w:b/>
        </w:rPr>
        <w:t>E. 17</w:t>
      </w:r>
    </w:p>
    <w:p>
      <w:r>
        <w:t>décembre 2019 ne saurait désormais être contestée, puisqu'elle serait entrée en force de chose décidée, faute de recours.</w:t>
      </w:r>
    </w:p>
    <w:p>
      <w:r>
        <w:t>Toutefois, en ne transmettant pas le courrier du 17 janvier 2020 à la chambre de céans afin qu'elle le traite comme un recours, l'intimée, considérée comme une autorité administrative au sens de l'art. 5 let. e LPA, a violé les bases légales susrappelées.</w:t>
      </w:r>
    </w:p>
    <w:p>
      <w:r>
        <w:t>En ces circonstances, il convient d'examiner le recours sur ce point, soit de savoir si l'intimée pouvait valablement refuser de nommer la recourante comme fonctionnaire dès le 1er janvier 2020 en prolongeant sa période probatoire d'une année pour cause de transfert au sens de l'art. 5A let. a RTrait. 6) a. Aux termes de l’art. 45 RPAC, peut être nommée fonctionnaire toute personne définie à l’art. 5 LPAC et qui a en règle générale occupé un emploi au sein de l’administration cantonale durant deux ans (let. a).</w:t>
      </w:r>
    </w:p>
    <w:p>
      <w:r>
        <w:t>La nomination intervient au terme d’une période probatoire de deux ans, sous réserve de prolongation de cette dernière (art. 47 al. 1 RPAC).</w:t>
      </w:r>
    </w:p>
    <w:p>
      <w:r>
        <w:t>La période probatoire de deux ans peut être prolongée d’un an au maximum en cas de changement de fonction ainsi qu'en cas de transfert, lié ou non à un changement de fonction, intervenant durant la deuxième année probatoire (art. 5A let. a RTrait).</w:t>
      </w:r>
    </w:p>
    <w:p>
      <w:r>
        <w:t>- 24/30 - A/220/2021</w:t>
      </w:r>
    </w:p>
    <w:p>
      <w:r>
        <w:t>b. En l'espèce, la décision de prolongation de la période probatoire litigieuse repose précisément sur ce motif, l'intimée ayant retenu que le transfert de direction en qualité de chargée d'information et communication au 19 décembre 2019 était intervenu durant la deuxième année probatoire.</w:t>
      </w:r>
    </w:p>
    <w:p>
      <w:r>
        <w:t>Si la recourante remet en cause tout transfert ou changement de fonction, elle ne contredit pas le fait que le service de la communication ait changé de rattachement hiérarchique, ayant impliqué une modification de son organisation. Elle se contente d'alléguer une absence de changement de fonction. À cet égard, bien qu'elle se prévale du défaut de signature d'un nouveau cahier des charges, elle ne conteste pas non plus qu'une séance d'information des collaborateurs au sujet des changements induits par la réorganisation du service de la communication ait eu lieu le 12 décembre 2019 ni que, dans ce contexte, un nouveau cahier des charges lui ait effectivement été remis. Elle était d'ailleurs en possession dudit document lors de l'entretien de service du 28 octobre 2020. Au demeurant, l'intéressée n'allègue pas que, contrairement à ce qu'indique l'intimée, tous les collaborateurs se trouvant, comme elle, en cours de période probatoire, ont vu celle-ci prolongée d'un an.</w:t>
      </w:r>
    </w:p>
    <w:p>
      <w:r>
        <w:t>Cela étant, il faut admettre que le mode de procéder de l'intimée consistant à changer le préavis contenu dans le formulaire d'évaluation de la recourante sans lui soumettre à nouveau pour signature est discutable – ce que l'intimée a admis. Toutefois, il n'en demeure pas moins que la recourante en avait été informée lors de la séance du 12 décembre 2019, au même titre que ses autres collègues. De plus, un préavis favorable de sa supérieure hiérarchique directe ne constituait encore pas une assurance d'obtenir une telle nomination, dès lors que le pouvoir de la prononcer relevait uniquement de la compétence de la direction générale.</w:t>
      </w:r>
    </w:p>
    <w:p>
      <w:r>
        <w:t>À cela s'ajoute que la recourante n'a pas donné de suite au courrier du 31 janvier 2020 de l'intimée, par lequel celle-ci refusait d'entrer en matière sur sa demande de reconsidérer son report de nomination. Ce n'est qu'à la suite de la décision de résiliation de ses rapports de service du 3 décembre 2020 qu'elle a derechef contesté ce point.</w:t>
      </w:r>
    </w:p>
    <w:p>
      <w:r>
        <w:t>Au vu de ce qui précède, l'intimée était fondée à considérer que le transfert du service de la communication, impliquant une réorganisation de celui-ci et de nouveaux enjeux stratégiques, nécessitant la mise à jour des collaborateurs, constituait effectivement un transfert au sens de l'art. 5A let. a RTrait, justifiant une prolongation de la période probatoire de la recourante d'une année.</w:t>
      </w:r>
    </w:p>
    <w:p>
      <w:r>
        <w:t>Ce grief doit donc être écarté. 7)</w:t>
      </w:r>
    </w:p>
    <w:p>
      <w:r>
        <w:t>Dans un second grief, la recourante fait valoir que la résiliation de ses rapports de service est contraire au droit et ne repose sur aucun motif fondé, les motifs retenus contre elle étant arbitraires.</w:t>
      </w:r>
    </w:p>
    <w:p>
      <w:r>
        <w:t>- 25/30 - A/220/2021</w:t>
      </w:r>
    </w:p>
    <w:p>
      <w:r>
        <w:t>a. Pendant le temps d'essai et la période probatoire, chacune des parties peut mettre fin aux rapports de service ; le membre du personnel n'ayant pas qualité de fonctionnaire est entendu par l'autorité compétente ; il peut demander que le motif de résiliation lui soit communiqué (art. 21 al. 1 LPAC).</w:t>
      </w:r>
    </w:p>
    <w:p>
      <w:r>
        <w:t>Lorsque les rapports de service ont duré plus d'une année, le délai de résiliation est de trois mois pour la fin d'un mois (art. 20 al. 3 LPAC).</w:t>
      </w:r>
    </w:p>
    <w:p>
      <w:r>
        <w:t>b.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le respect de l'égalité de traitement et des principes de la proportionnalité et de la bonne foi (ATA/398/2019 du 9 avril 2019 consid. 6b et les références citées).</w:t>
      </w:r>
    </w:p>
    <w:p>
      <w:r>
        <w:t>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(ATA/398/2019 précité consid. 6b et les références citées).</w:t>
      </w:r>
    </w:p>
    <w:p>
      <w:r>
        <w:t>c. L'obligation d'entendre un employé avant qu'une décision de licenciement soit prise, rappelée à l'art. 21 al. 1 LPAC, découle du respect de son droit être entendu garanti par l'art. 29 al. 2 Cst. et implique qu'en cas de résiliation des rapports de service, le collaborateur dispose de suffisamment de temps pour préparer ses objections. Selon la jurisprudence,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La personne concernée ne doit pas seulement connaître les faits qui lui sont reprochés, mais également savoir qu'une décision allant dans une certaine direction est envisagée à son égard. Le droit d'être entendu doit par principe s'exercer avant le prononcé de la décision et il n'est ainsi pas admissible, sous cet angle, de remettre à l'employé une décision de résiliation des rapports de service en se contentant de lui demander de s'exprimer s'il le désire (ATF 144 I 11 consid. 5.3 ; 142 II 218 consid. 2.3 ; arrêt du Tribunal fédéral 8C_257/2019 du 12 mai 2020 consid. 4.2 et 4.3 et les références citées ; ATA/1023/2020 du 13 octobre 2020 consid. 7b).</w:t>
      </w:r>
    </w:p>
    <w:p>
      <w:r>
        <w:t>d. En l’espèce, la recourante soutient que la décision litigieuse ne repose sur aucun élément objectif et que les reproches avancés sont infondés, étant donné que son travail a toujours donné satisfaction.</w:t>
      </w:r>
    </w:p>
    <w:p>
      <w:r>
        <w:t>- 26/30 - A/220/2021</w:t>
      </w:r>
    </w:p>
    <w:p>
      <w:r>
        <w:t>S'il ressort certes des formulaires d'entretiens d'évaluation de la recourante, notamment ceux des 16 mai et 26 septembre 2019 après respectivement douze et vingt mois d'activité une bonne appréciation globale, il n'en demeure pas moins que ces documents mentionnent des points à améliorer par l'intéressée, en particulier son regard critique sur la qualité de ses textes, être attentive à l'organisation du service de la communication ainsi qu'au ton adopté dans le cadre de ses échanges avec sa hiérarchie et ses collègues. À cet égard, la question de savoir si le formulaire d'évaluation du 25 avril 2018 doit être pris en compte ou non peut souffrir de demeurer indécise, dans la mesure où il s'agissait de l'évaluation la plus ancienne et où il n'est pas contesté que les évaluations globales de la recourante lors de ses évaluations étaient bonnes. En revanche, les échanges de courriels entre celle-ci et sa supérieure hiérarchique entre le 26 novembre 2019 et 12 mai 2020 ont également mis en exergue diverses lacunes dans le travail présenté par l'intéressée nécessitant de nombreuses corrections et vérifications de la part de Mme C______. Ces constats ont pu être effectués à l'occasion de plusieurs projets, précisément détaillés, sur lesquels la recourante a travaillé. Ceux-ci ont d'ailleurs abouti aux entretiens des 26 mai et 17 juin 2020, au cours desquels il lui a été rappelé qu'un suivi personnalisé ne pouvait être mis en place en sa faveur, dans la mesure où il s'agissait des compétences de base attendues d'une chargée d'information et communication. Des objectifs, de même qu'un délai au mois de septembre 2020 pour les atteindre, ont alors été fixés à la recourante afin d'améliorer la qualité de son travail. Ayant été en arrêt maladie dès le 18 juin 2020 jusqu'au 30 octobre 2020, la recourante n'a pas pu y satisfaire.</w:t>
      </w:r>
    </w:p>
    <w:p>
      <w:r>
        <w:t>Dans ce contexte, un nouvel entretien, dit « entretien de service », a eu lieu le 28 octobre 2020, lors duquel l'intéressée était assistée de son conseil. Selon le procès-verbal y relatif, cet entretien reprend les reproches formulés précédemment, ainsi que la non-réalisation des cinq objectifs fixés et le non- respect de la directive. Il en ressort que la recourante n'a effectivement pas été en mesure de remplir les exigences liées à sa fonction durant la période qui lui avait été impartie à cet effet. La recourante a pu s'exprimer tant par oral que par écrit dans ses observations ultérieures du 19 novembre 2020.</w:t>
      </w:r>
    </w:p>
    <w:p>
      <w:r>
        <w:t>En outre, ce n'est que le 29 octobre 2020, soit le lendemain dudit entretien de service, que la recourante a informé l'intimée être en mesure de reprendre son travail dès le 1er novembre 2020 à temps complet. Sur ce point, il peut être observé que si elle a été mise en arrêt maladie dès le 18 juin 2020, soit subséquemment à l'entretien du 17 juin 2020, elle a retrouvé une capacité de travail entière immédiatement après son entretien de service, alors qu'elle demeurait dans l'incapacité de contacter sa supérieure hiérarchique pendant son arrêt maladie en septembre et octobre 2020, selon le certificat médical du 15 avril 2021. Or, contrairement aux allégations de la recourante, s'il appartenait à sa supérieure hiérarchique de prendre régulièrement de ses nouvelles, il reste qu'elle avait elle-même pour obligation de la prévenir de son état de santé par téléphone,</w:t>
      </w:r>
    </w:p>
    <w:p>
      <w:r>
        <w:t>- 27/30 - A/220/2021 ce qu'elle n'a pas fait, en dépit de relances en ce sens, étant relevé que rien n'atteste qu'elle était dans l'incapacité de contacter par téléphone sa supérieure hiérarchique entre le 18 juin et le 31 août 2020.</w:t>
      </w:r>
    </w:p>
    <w:p>
      <w:r>
        <w:t>Compte tenu de ce qui précède, il apparaît que la recourante n'a pas su s'adapter à l'évolution du service communication, mise en place dès la fin de l'année 2019. Le fait qu'elle produise un échange de courriels concernant la satisfaction d'un responsable de service concernant « le plan de protection – affichage des capacités des espaces », entre le 11 et 16 juin 2020, ne suffit pas à contrebalancer l'ensemble des corrections apportées à plusieurs projets durant les mois précédents. Ceci sans compter le fait que ledit échange de courriels est intervenu juste avant l'entretien du 17 juin 2020, lequel faisait suite au courriel de la recourante à sa supérieure hiérarchique du 4 juin 2020. Si le ton employé dans celui-ci n'est a priori pas choquant, il n'en demeure pas moins déplacé, dans la mesure où l'intéressée explique à Mme C______ comment cette dernière doit se comporter avec elle pour lui permettre d'effectuer convenablement son travail, après avoir reconnu l'existence de tensions entre elles.</w:t>
      </w:r>
    </w:p>
    <w:p>
      <w:r>
        <w:t>Ainsi, malgré ce que soutient la recourante, il existait plusieurs motifs, connus de sa part et dûment constatés, qui justifiaient la résiliation des rapports de service. L'intimée, qui disposait d'une liberté d'appréciation étendue en la matière, n'a dès lors pas abusé de son pouvoir d’appréciation en résiliant ses rapports de service.</w:t>
      </w:r>
    </w:p>
    <w:p>
      <w:r>
        <w:t>Ce faisant, elle n'a pas non plus contrevenu au principe de la proportionnalité, dès lors qu'au regard des manquements constatés, aucune autre mesure n'était envisageable, étant précisé que la possibilité d'améliorer ses prestations lui avait été offerte à la suite de l'entretien du 17 juin 2020. 8)</w:t>
      </w:r>
    </w:p>
    <w:p>
      <w:r>
        <w:t>La résiliation des rapports de service étant conforme au droit, les conclusions en réintégration et en indemnisation seront écartées. 9)</w:t>
      </w:r>
    </w:p>
    <w:p>
      <w:r>
        <w:t>Finalement, la recourante considère que son solde de vacances et d'heures supplémentaires doit être compensé financièrement. Vu la résiliation de ses rapports de service avec effet au 31 mars 2021 et la période de crise liée à la Covid-19, il ne pouvait être exigé d'elle de prendre ses congés pendant le délai de résiliation.</w:t>
      </w:r>
    </w:p>
    <w:p>
      <w:r>
        <w:t>a. Les membres du personnel âgés de plus de vingt ans révolus ont droit à une période de vacances annuelle de cinq semaines (art. 27 al. 1 let. a RPAC). Chaque jour de vacances correspond à un jour de travail (art. 27 al. 3 RPAC). L’exercice vacances correspond à l’année civile (art. 27 al. 4 RPAC). Les membres du personnel qui n’ont été qu’une partie de l’année au service de l’État ont droit à des vacances annuelles proportionnelles à la durée de leur activité (art. 27 al. 5</w:t>
      </w:r>
    </w:p>
    <w:p>
      <w:r>
        <w:t>- 28/30 - A/220/2021 RPAC). Tant que durent les rapports de service, il est interdit de remplacer les vacances par des prestations en argent ou d’autres avantages (art. 30 al. 2 RPAC).</w:t>
      </w:r>
    </w:p>
    <w:p>
      <w:r>
        <w:t>La chambre de céans a déjà retenu que si une recourante n'avait pas été libérée de son obligation de travailler, elle aurait dû prendre son solde de vacances durant cette période, conformément à l'art. 30 al. 2 LPAC. Il n'y avait ainsi aucune raison de la placer dans une meilleure situation du fait qu'elle avait été libérée de son obligation de travailler (ATA/1190/2017 du 22 août 2017 consid. 12 et la référence citée).</w:t>
      </w:r>
    </w:p>
    <w:p>
      <w:r>
        <w:t>b. En l'occurrence, par décision du 3 décembre 2020, la recourante a été licenciée avec libération de son obligation de travailler pour le 31 mars 2021. Elle a ainsi disposé de plus de trois mois de délai de congé. Conformément aux bases légales et à la jurisprudence susrappelées, elle aurait dû prendre le solde de ses jours de vacances et heures supplémentaires durant cette période. Le fait qu'elle ait été libérée de son obligation de travailler n'y change rien. Quant à l'argument tiré de la période liée à la Covid-19, celle-ci ne saurait être imputée à l'intimée, d'autant plus que rien n'empêchait alors la recourante de prendre des vacances à cette époque-là. La recourante n'a donc aucun droit à demander une compensation financière de son solde de vacances et d'heures supplémentaires.</w:t>
      </w:r>
    </w:p>
    <w:p>
      <w:r>
        <w:t>Ce grief doit également être écarté.</w:t>
      </w:r>
    </w:p>
    <w:p>
      <w:r>
        <w:t>Au vu de ce qui précède, le recours sera rejeté. 10) Vu l'issue du litige, un émolument de CHF 1'000.- sera mis à la charge de la recourante (art. 87 al. 1 LPA).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