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ATA/93/2019 vom 29. Januar 2019</w:t>
      </w:r>
    </w:p>
    <w:p>
      <w:r>
        <w:t>GE Cour de justice, 2019-01-29, FR</w:t>
      </w:r>
    </w:p>
    <w:p>
      <w:r>
        <w:rPr>
          <w:b/>
        </w:rPr>
        <w:t xml:space="preserve">Quelle: </w:t>
      </w:r>
      <w:r>
        <w:t>https://mcp.opencaselaw.ch/entscheid/ge_gerichte_ATA_93_2019</w:t>
      </w:r>
    </w:p>
    <w:p>
      <w:r>
        <w:t>FR: GE_GERICHTE ATA/93/2019 du 29 janvier 2019</w:t>
      </w:r>
    </w:p>
    <w:p>
      <w:r>
        <w:t>IT: GE_GERICHTE ATA/93/2019 del 29 gennaio 2019</w:t>
      </w:r>
    </w:p>
    <w:p>
      <w:pPr>
        <w:pStyle w:val="Heading2"/>
      </w:pPr>
      <w:r>
        <w:t>Regeste</w:t>
      </w:r>
    </w:p>
    <w:p>
      <w:r>
        <w:t>Résumé: Recours contre le jugement du TAPI confirmant le refus d'entrer en matière sur la demande de reconsidération d'un refus d'autorisation pour cas individuel d'extrême gravité. À la différence de la mère dont la santé était déjà documentée au moment où la chambre administrative s'est déterminée sur le bien-fondé de la décision initiale du 17 juillet 2015, l'état de santé de la fille ne l'était pas. Cette dernière a subi postérieurement à la date de la première décision un choc post-traumatique ayant causé des troubles du comportement et un retard complexe du développement. Il s'agit de faits nouveaux « nouveaux » constituant une modification notable de la situation qui doit amener l'OCPM à entrer en matière sur la demande de reconsidération sous l'angle d'une autorisation pour cas de rigueur, voire d'une admission provisoire. Recours admis.</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1ère phr.).</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(ATA/1537/2017 du 28 novembre 2017 consid. 2a et les arrêts cités). Ainsi, une requête en annulation d’une décision doit être déclarée recevable dans la mesure où le recourant a, de manière suffisante, manifesté son désaccord avec la décision ainsi que sa volonté qu’elle ne déploie pas d’effets juridiques (ATA/1537/2017 précité consid. 2a ; ATA/571/2015 du 2 juin 2015 consid. 2a et les références citées).</w:t>
      </w:r>
    </w:p>
    <w:p>
      <w:r>
        <w:t>b. En l’espèce, dans leur acte de recours du 12 mai 2018, la recourante et sa fille, qui comparaissent en personne, n'ont pas pris de conclusions formelles en annulation du jugement entrepris et en annulation de la décision du 17 octobre 2017. L’on comprend toutefois de leurs écritures qu’elles contestent le jugement du TAPI, en tant que celui-ci a rejeté leur recours et confirmé la décision de l’OCPM.</w:t>
      </w:r>
    </w:p>
    <w:p>
      <w:r>
        <w:t>Le recours est ainsi recevable de ce point de vue également. 3)</w:t>
      </w:r>
    </w:p>
    <w:p>
      <w:r>
        <w:t>L'objet du litige consiste à déterminer si le TAPI était fondé à confirmer la décision de l’intimé du 17 octobre 2017 refusant d'entrer en matière sur la requête en reconsidération de la décision de refus d'autorisation de séjour pour cas de rigueur du 17 juillet 2015.</w:t>
      </w:r>
    </w:p>
    <w:p>
      <w:r>
        <w:t>- 16/25 - A/4562/2017</w:t>
      </w:r>
    </w:p>
    <w:p>
      <w:r>
        <w:t>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 consid. 2c).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(ATA/291/2017 du 14 mars 2017 consid. 5).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(ATA/598/2016 du 12 juillet 2016 consid. 6f).</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w:t>
      </w:r>
    </w:p>
    <w:p>
      <w:r>
        <w:t>- 17/25 - A/4562/2017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w:t>
      </w:r>
    </w:p>
    <w:p>
      <w:r>
        <w:t>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ATA/159/2018 précité consid. 3d). 4) a. La loi fédérale sur les étrangers et l’intégration du 16 décembre 2005 (LEI - RS 142.20 ; anciennement dénommée loi fédérale sur les étrangers -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t>b. L’art. 30 al. 1 let. b LEI permet de déroger aux conditions d’admission en Suisse, telles que prévues aux art. 18 à 29 LEI, notamment aux fins de tenir compte des cas individuels d’une extrême gravité ou d’intérêts publics majeurs.</w:t>
      </w:r>
    </w:p>
    <w:p>
      <w:r>
        <w:t>L'art. 31 al. 1 aOASA, dans sa teneur au moment des faits, précise cette disposition et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w:t>
      </w:r>
    </w:p>
    <w:p>
      <w:r>
        <w:t>- 18/25 - A/4562/2017 Suisse (SEM, Directives et commentaires, Domaine des étrangers, 2013, état au 1er juillet 2018 [ci-après : Directives LEtr], ch. 5.6.12).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arrêt du Tribunal administratif fédéral C-912/2015 du 23 novembre 2015 consid. 4.3.2 ; ATA/954/2018 du 18 septembre 2018 consid. 6 et l'arrêt cité).</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ATA/357/2018 du 17 avril 2018 consid. 7a ; ATA/1234/2017 du 29 août 2017 consid. 7a).</w:t>
      </w:r>
    </w:p>
    <w:p>
      <w:r>
        <w:t>c.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ATA/801/2018 du 7 août 2018 consid. 10d et l'arrêt cité).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w:t>
      </w:r>
    </w:p>
    <w:p>
      <w:r>
        <w:t>- 19/25 - A/4562/2017 son intégrité physique (arrêt du TAF E-2693/2016 du 30 mai 2016 consid. 4.1 et les références citées ; ATA/801/2018 précité consid. 10d et les arrêts cités).</w:t>
      </w:r>
    </w:p>
    <w:p>
      <w:r>
        <w:t>d. L’art. 8 de la Convention de sauvegarde des droits de l’homme et des libertés fondamentales du 4 novembre 1950 (CEDH - RS 0.101)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Ce qui est déterminant sous l’angle de l’art. 8 § 1 CEDH, est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ATA/1097/2018 du 16 octobre 2018 consid. 3c).</w:t>
      </w:r>
    </w:p>
    <w:p>
      <w:r>
        <w:t>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w:t>
      </w:r>
    </w:p>
    <w:p>
      <w:r>
        <w:rPr>
          <w:b/>
        </w:rPr>
        <w:t>E. 28</w:t>
      </w:r>
    </w:p>
    <w:p>
      <w:r>
        <w:t>mars 2014 consid. 3.1 ; 2C_817/2010 du 24 mars 2011 consid. 4).</w:t>
      </w:r>
    </w:p>
    <w:p>
      <w:r>
        <w:t>Selon la jurisprudence de la Cour européenne des droits de l’homme (ci-après : CourEDH), la relation entre les parents et les enfants majeurs qui vivent encore au domicile peut être couverte par l’art. 8 CEDH, notamment lorsqu’ils n’ont pas encore 25 ans (ACEDH Bousarra c. France, du 23 septembre 2010, req. n° 25672/07, § 38-39 ; A.A. c. Royaume-Uni, du 20 septembre 2011, req. n° 8000/08, § 48-49). 5) a. En l'espèce, par sa décision du 17 octobre 2017, l’OCPM a refusé d’entrer en matière sur la demande de reconsidération formée le 13 septembre 2017 par la recourante et sa fille.</w:t>
      </w:r>
    </w:p>
    <w:p>
      <w:r>
        <w:t>- 20/25 - A/4562/2017</w:t>
      </w:r>
    </w:p>
    <w:p>
      <w:r>
        <w:t>Le contrôle juridictionnel effectué par le TAPI puis par la chambre de céans ne peut donc porter que sur la question de savoir si c’est à juste titre que l’OCPM n’est pas entré en matière sur ladite demande, en d’autres termes s’il y a eu ou non modification notable des circonstances au sens de l’art. 48 al. 1 let. b LPA.</w:t>
      </w:r>
    </w:p>
    <w:p>
      <w:r>
        <w:t>Si la chambre administrative retenait une telle modification des circonstances, elle devrait en principe renvoyer le dossier à l’intimé afin que celui-ci le reconsidère (Jacques DUBEY/Jean-Baptiste ZUFFEREY, Droit administratif général, 2014, n. 2148), ce qui n’impliquerait pas nécessairement que la décision d’origine – celle du 17 juillet 2015, confirmée le 2 août 2017 par la chambre de céans – soit modifiée (Thierry TANQUEREL, Manuel de droit administratif, 2018, n. 1429).</w:t>
      </w:r>
    </w:p>
    <w:p>
      <w:r>
        <w:t>b. S'agissant de la date d'arrivée en Suisse de la recourante (30 décembre 2000 selon son allégation et non le 31 décembre 2001), force est de constater qu'il ressort du dossier que la recourante a elle-même indiqué à de nombreuses reprises être arrivée en Suisse en 2001 (par exemple dans le formulaire qu'elle a complété le 11 août 2004 ou encore dans ses courriers signés par elle-même à l'OCPM du 12 juillet 2013 et du 28 août 2013, cette date ressortant également de l'AASS/13/2010 précité p. 9). En tout état de cause, la question de l'arrivée en Suisse ne constitue pas des faits nouveaux « anciens » ou des faits nouveaux « nouveaux » au sens de l'art. 80 let. b LPA.</w:t>
      </w:r>
    </w:p>
    <w:p>
      <w:r>
        <w:t>Quant à la durée de son séjour en Suisse, sa condamnation pénale et de ses possibilités de réintégration dans son pays d’origine, celles-ci ont déjà été prises en compte et discutées dans la décision initiale du 17 juillet 2015, confirmée en cela par l'ATA/1131/2017 précité. Ces problématiques ne constituent dès lors pas des motifs de reconsidération.</w:t>
      </w:r>
    </w:p>
    <w:p>
      <w:r>
        <w:t>Comme l'a justement considéré le TAPI, le fait que la mère de la recourante, atteinte dans sa santé depuis juillet 2012, soit désormais au bénéfice d'une autorisation de séjour n'a aucune influence sur le droit de la recourante à bénéficier d'une autorisation de séjour, puisque cette dernière n'a pas démontré un lien de dépendance particulier entre elle et sa mère, ce d'autant moins qu'il ressort du dossier que sa mère vit à D______ et non à Genève.</w:t>
      </w:r>
    </w:p>
    <w:p>
      <w:r>
        <w:t>Les dénonciations que la recourante a adressées au directeur de l'OCPM (une/des proposition(s) déplacée(s) d'un collaborateur de l'OCPM et une sous-location à un loyer excessif) constituent des faits nouveaux « anciens », dans la mesure où ils avaient pour objet des faits s'étant déroulés en 2006 et avant 2016. Toutefois et au vu des périodes au cours desquels se sont déroulés ces faits, la recourante était en mesure de les invoquer dans le cadre de la procédure ayant fait l'objet de l'ATA/1131/2017 précité, de sorte qu'ils ne sauraient justifier la reconsidération de la décision initiale du 17 juillet 2015.</w:t>
      </w:r>
    </w:p>
    <w:p>
      <w:r>
        <w:t>- 21/25 - A/4562/2017</w:t>
      </w:r>
    </w:p>
    <w:p>
      <w:r>
        <w:t>Enfin et s'agissant de son état de santé, il ressort de deux certificats médicaux du 29 février 2016 et du 18 janvier 2017 que la recourante a subi, en 2008 et 2009, deux interventions chirurgicales pour éliminer sa tachycardie. Depuis lors, elle n'avait plus ressenti cette tachycardie très rapide et symptomatique. Dans le dernier certificat médical figurant au dossier du 11 juillet 2017, son cardiologue certifie que la recourante souffre d'une tachycardie sinusale très invalidante. Si l'on peut inférer de ce dernier certificat médical que la recourante souffre à nouveau de tachycardie, force est de constater que la recourante était en mesure d'en faire état dans le cadre de la procédure A/3135/2015, puisque ce fait était documenté. Quant à l'opération qu'elle devrait subir le 7 février 2019, aucune pièce n'a été produite à ce propos.</w:t>
      </w:r>
    </w:p>
    <w:p>
      <w:r>
        <w:t>c. La situation de la fille de la recourante est plus problématique.</w:t>
      </w:r>
    </w:p>
    <w:p>
      <w:r>
        <w:t>En août 2015, soit postérieurement à la décision de l'OCPM du 17 juillet 2015, la recourante et sa fille ont été interpellées par la police. Ce contrôle de police – qui n'a donné aucune suite judiciaire pour les recourantes – a eu des répercussions extrêmement importantes sur la santé de la fille de la recourante.</w:t>
      </w:r>
    </w:p>
    <w:p>
      <w:r>
        <w:t>En effet, il ressort de l'ensemble des certificats médicaux, rapports médicaux et de l'audition du Dr M______ que A______ a souffert, respectivement souffre encore actuellement, d'un choc post-traumatique à la suite de ce contrôle de police et à la séparation brutale d'avec sa mère. A______ présente un retard complexe du développement notamment du point de vue du langage, ce qui a nécessité la mise en place d'un suivi logopédique soutenu à raison de deux séances de quarante-cinq minutes par semaine.</w:t>
      </w:r>
    </w:p>
    <w:p>
      <w:r>
        <w:t>Par ailleurs et toujours en relation avec ce choc post-traumatique, la fille de la recourante souffre de troubles du comportement au niveau de la gestion des émotions, notamment d'angoisses de séparation massives très résistantes.</w:t>
      </w:r>
    </w:p>
    <w:p>
      <w:r>
        <w:t>Selon le certificat médical du Dr M______ du 30 avril 2018, les problèmes subsistants devront faire l'objet de soins spécialisés durant les années à suivre afin de valider les acquis. Il lui paraissait primordial de permettre à A______ de bénéficier d'un environnement stable et de maintenir l'alliance thérapeutique qu'elle avait avec ses différents soignants au vu de la difficulté particulière qu'a A______ à faire confiance. Le Dr M______, lors de son audition par-devant la chambre de céans, n'a pas modifié cette conclusion précisant d'ailleurs que la fille de la recourante « serait fortement touchée si elle devait interrompre le travail actuellement en cours, et que cela entraînerait une régression par rapport aux progrès qu'elle avait faits ».</w:t>
      </w:r>
    </w:p>
    <w:p>
      <w:r>
        <w:t>Lorsque l’autorité a prononcé la décision initiale du 17 juillet 2015, la gravité des troubles psychologiques de la fille de la recourante n'était ni connue ni encore moins documentée puisque la séparation brutale de l'enfant d'avec sa mère</w:t>
      </w:r>
    </w:p>
    <w:p>
      <w:r>
        <w:t>- 22/25 - A/4562/2017 et son placement aux HUG suite à l'intervention de la police, source vraisemblable des troubles de A______, ont eu lieu postérieurement à la date de la décision initiale. D'ailleurs et selon l'entier du dossier, le premier certificat médical traitant de l'état de santé de A______ date du 27 août 2017, soit plus de deux ans après la décision initiale du 17 juillet 2015. Ce certificat médical est également postérieur à l'arrêt de la chambre de céans du 2 août 2017 (ATA/1131/2017). Par ailleurs et à la différence de l'état de santé de la recourante qui était d'ores et déjà documenté au moment où la chambre administrative s'est déterminée sur le bien-fondé de la décision initiale du 17 juillet 2015, l'état de santé de sa fille ne l'était pas.</w:t>
      </w:r>
    </w:p>
    <w:p>
      <w:r>
        <w:t>Au surplus et par rapport aux problèmes logopédiques rencontrés par la fille de la recourante, il ne ressort pas du dossier que cette dernière parlerait le portugais.</w:t>
      </w:r>
    </w:p>
    <w:p>
      <w:r>
        <w:t>Ces faits constituent dès lors des faits nouveaux « nouveaux », modifiant de manière importante et notable l'état de fait sur lequel l'OCPM avait fondé sa décision du 17 juillet 2015 pour refuser à la recourante et à sa fille une autorisation de séjour pour cas individuels d’extrême gravité (art. 30 al. 1 let. b LEI, art. 31 al. 1 aOASA et 8 CEDH), et pour prononcer leur renvoi et l'exécution de celui-ci (art. 83 LEI).</w:t>
      </w:r>
    </w:p>
    <w:p>
      <w:r>
        <w:t>L'état de santé de la fille de la recourante, qui a évolué depuis le prononcé de la décision du 17 juillet 2015, constitue dès lors une modification notable de la situation qui doit amener l’OCPM à entrer en matière sur la demande de reconsidération et à l’instruire, en cas de besoin.</w:t>
      </w:r>
    </w:p>
    <w:p>
      <w:r>
        <w:t>d. En conséquence, c’est à tort que l’OCPM n’est pas entré en matière sur la demande de reconsidération de la recourante et de sa fille du 13 septembre 2017.</w:t>
      </w:r>
    </w:p>
    <w:p>
      <w:r>
        <w:t>Il appartiendra dès lors à l'OCPM de se déterminer sur cette demande sous l'angle d'une autorisation pour cas de rigueur, voire d'une admission provisoire. 6)</w:t>
      </w:r>
    </w:p>
    <w:p>
      <w:r>
        <w:t>Au vu de ce qui précède, le recours sera admis.</w:t>
      </w:r>
    </w:p>
    <w:p>
      <w:r>
        <w:t>Le jugement du TAPI du 13 avril 2018, de même que la décision de l'OCPM du 17 octobre 2017 seront annulés et le dossier sera renvoyé à l’autorité cantonale pour nouvelle décision statuant sur le fond de ladite demande, au sens des considérants, après, le cas échéant, une instruction complémentaire. 7)</w:t>
      </w:r>
    </w:p>
    <w:p>
      <w:r>
        <w:t>Vu l'issue du recours, aucun émolument ne sera perçu (art. 87 al. 1 LPA). Aucune indemnité de procédure ne sera allouée à la recourante et à sa fille qui comparaissent en personne et qui n’ont pas exposé avoir engagé de frais pour leur défense (art. 87 al. 2 LPA).</w:t>
      </w:r>
    </w:p>
    <w:p>
      <w:r>
        <w:t>* * * * *</w:t>
      </w:r>
    </w:p>
    <w:p>
      <w:r>
        <w:t>- 23/25 - A/4562/2017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