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ATA/934/2014 vom 25. November 2014</w:t>
      </w:r>
    </w:p>
    <w:p>
      <w:r>
        <w:t>GE Cour de justice, 2014-11-25, FR</w:t>
      </w:r>
    </w:p>
    <w:p>
      <w:r>
        <w:rPr>
          <w:b/>
        </w:rPr>
        <w:t xml:space="preserve">Quelle: </w:t>
      </w:r>
      <w:r>
        <w:t>https://mcp.opencaselaw.ch/entscheid/ge_gerichte_ATA_934_2014</w:t>
      </w:r>
    </w:p>
    <w:p>
      <w:r>
        <w:t>FR: GE_GERICHTE ATA/934/2014 du 25 novembre 2014</w:t>
      </w:r>
    </w:p>
    <w:p>
      <w:r>
        <w:t>IT: GE_GERICHTE ATA/934/2014 del 25 novembre 2014</w:t>
      </w:r>
    </w:p>
    <w:p>
      <w:pPr>
        <w:pStyle w:val="Heading2"/>
      </w:pPr>
      <w:r>
        <w:t>Regeste</w:t>
      </w:r>
    </w:p>
    <w:p>
      <w:r>
        <w:t>Résumé: Placement en cellule forte pour cinq jours illicite, dans la mesure où le recourant, souffrant de graves troubles psychiques, était en état d'irresponsabilité au moment des faits. Recours admis, bien que le recourant ait déjà subi sa sanction, il conserve un intérêt actuel à agir, un nouveau placement en cellule forte étant à nouveau possible. Constatation du caractère illicite de la décision attaquée.</w:t>
      </w:r>
    </w:p>
    <w:p>
      <w:pPr>
        <w:pStyle w:val="Heading2"/>
      </w:pPr>
      <w:r>
        <w:t>Erwägungen</w:t>
      </w:r>
    </w:p>
    <w:p>
      <w:r>
        <w:rPr>
          <w:b/>
        </w:rPr>
        <w:t>E. 15</w:t>
      </w:r>
    </w:p>
    <w:p>
      <w:r>
        <w:t>juillet au 15 août, est recevable sous ces divers angles (art. 132 de la loi sur l’organisation judiciaire du 26 septembre 2012 - LOJ - E 2 05 ; art. 62 al. 1 let. a et 63 al. 1 let. b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1A_47/2002 du 16 avril 2002 consid. 3 ;</w:t>
      </w:r>
    </w:p>
    <w:p>
      <w:r>
        <w:t>- 6/10 - A/2755/2014 ATA/759/2012 du 6 novembre 2012 ; ATA/188/2011 du 22 mars 2011 ; ATA/146/2009 du 24 mars 2009).</w:t>
      </w:r>
    </w:p>
    <w:p>
      <w:r>
        <w:t>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1C_133/2009 précité ; ATA/759/2012 précité).</w:t>
      </w:r>
    </w:p>
    <w:p>
      <w:r>
        <w:t>c. En l’espèce, le recourant a d’ores et déjà entièrement exécuté la sanction contestée. Toutefois, la légalité d’un placement en cellule forte doit pouvoir faire l’objet d’un contrôle en vertu de la jurisprudence précitée, nonobstant l’éventuelle absence d’intérêt actuel, dans la mesure où cette situation pourrait encore se présenter (ATA/591/2014 du 29 juillet 2014 consid. 2 ; ATA/183/2013 du</w:t>
      </w:r>
    </w:p>
    <w:p>
      <w:r>
        <w:rPr>
          <w:b/>
        </w:rPr>
        <w:t>E. 19</w:t>
      </w:r>
    </w:p>
    <w:p>
      <w:r>
        <w:t>mars 2013 et la jurisprudence citée). D’ailleurs, le recourant semble avoir fait l’objet d’un nouveau placement en cellule forte, il a donc un intérêt actuel à recourir contre la décision litigieuse. 3)</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w:t>
      </w:r>
    </w:p>
    <w:p>
      <w:r>
        <w:t>- 7/10 - A/2755/2014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(ATA/785/2012 du 20 novembre 2012 ; ATA/238/2012 du 24 avril 2012 et les références citées). 4)</w:t>
      </w:r>
    </w:p>
    <w:p>
      <w:r>
        <w:t>Sur un plan strictement médical, on admettra l’existence d’une irresponsabilité au sens de l’art. 19 al. 1 du code pénale suisse du 21 décembre 1937 (CP - RS 311.0) en cas de psychose particulière, schizophrénie ou attente psychologique affective grave. Quant aux effets de l’irresponsabilité, on doit admettre que le délinquant déclaré irresponsable est inapte à toute faute. L’irresponsabilité déploie ainsi intégralement ses effets sur la culpabilité et sur la sanction (Laurent MOREILLON, in Robert ROTH/Laurent MOREILLON, Commentaire romand du code pénal I, 2009, p. 204). 5)</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En outre, le détenu est responsable du bon entretien de la cellule et de l’équipement mis à sa disposition (art. 15 al. 2 RIPP).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- 8/10 - A/2755/2014</w:t>
      </w:r>
    </w:p>
    <w:p>
      <w:r>
        <w:t>Selon l’art. 47 al. 3 let. f RRIP, le directeur de la prison est compétent pour prononcer un placement en cellule forte pour dix jours au plus. 6)</w:t>
      </w:r>
    </w:p>
    <w:p>
      <w:r>
        <w:t>En l’espèce, il ne fait nul doute que le placement en cellule forte pour cinq jours, infligé au recourant, constitue une sanction disciplinaire. Ainsi, la décision attaquée doit être examinée au regard des principes généraux du droit pénal et plus particulièrement celui de la faute.</w:t>
      </w:r>
    </w:p>
    <w:p>
      <w:r>
        <w:t>Il est reproché au recourant d’avoir, dans la nuit du 1er au 2 août 2014, dégradé le mobilier de sa cellule, soit d’avoir arraché le support en plastique au- dessus du lavabo, et d’avoir troublé l’ordre de la prison.</w:t>
      </w:r>
    </w:p>
    <w:p>
      <w:r>
        <w:t>Il sied, tout d’abord, de relever que durant cette nuit, les gardiens n’ont constaté aucun dérangement provenant de la cellule n° 307. Ce n’est que le lendemain matin, lorsque le codétenu du recourant a déclaré que ce dernier n’avait pas arrêté de crier et de hurler, que les faits ont été constatés. À ce moment, il a également été remarqué que des papiers déchirés jonchaient le sol de la cellule et que le recourant tenait des propos incohérents. Par la suite, ce dernier a dû être transféré à l’UHPP.</w:t>
      </w:r>
    </w:p>
    <w:p>
      <w:r>
        <w:t>Or, l’expertise psychiatrique, réalisée dans le cadre de la procédure pénale, relève que le recourant souffre de manière permanente d’un grave trouble psychique, dont les fluctuations d’humeur, la violence, un comportement désorganisé et provocateur en sont notamment des symptômes. Il appert que les dégâts matériels et le dérangement reprochés au recourant sont directement liés à sa pathologie. Il ne pouvait dès lors apprécier le caractère illicite de ses actes. En d’autres termes, cet état psychique l’a rendu irresponsable au sens de l’art. 19 CP, appliqué par analogie, et donc inapte à la faute. En conséquence, il ne pouvait se voir infliger une sanction disciplinaire, ainsi que la chambre de céans l’avait déjà constaté dans une cause semblable (ATA/727/2014 du 9 septembre 2014).</w:t>
      </w:r>
    </w:p>
    <w:p>
      <w:r>
        <w:t>Ce constat s’impose d’autant plus concernant la mesure d’adaptation de la sanction du 13 août 2014 et de la décision de lui faire purger le solde de la sanction à son retour de l’UHPP, lieu dans lequel il venait de passer dix jours. Ce placement en milieu psychiatrique ne pouvait qu’attester de la réalité des troubles psychiques dont souffrait M. A______. Au regard de ce séjour à l’UHPP, la prison aurait dû se poser la question de la punissabilité du recourant en reconsidérant à tout le moins sa décision du 2 août 2014, au lieu de le replacer directement en cellule forte, afin d’exécuter le solde de sa punition.</w:t>
      </w:r>
    </w:p>
    <w:p>
      <w:r>
        <w:t>La sanction prononcée à l’encontre du recourant n’était pas conforme au droit. Dès lors qu’elle a été entièrement exécutée à ce jour, il n’est matériellement plus possible de l’annuler. La chambre de céans se limitera à en constater le caractère illicite (ATA/328/2009 du 30 juin 2009 consid. 8 ; ATA/666/2004 du 27 août 2004 consid. 2c).</w:t>
      </w:r>
    </w:p>
    <w:p>
      <w:r>
        <w:t>- 9/10 - A/2755/2014 7)</w:t>
      </w:r>
    </w:p>
    <w:p>
      <w:r>
        <w:t>Partant, la question de l’illicéité de la sanction litigieuse sous l’angle d’une éventuelle violation de l’art. 3 CEDH peut souffrir de rester ouverte. 8)</w:t>
      </w:r>
    </w:p>
    <w:p>
      <w:r>
        <w:t>Enfin, le recourant requiert le versement d’une indemnité, à titre de réparation du tort moral, pour ces cinq jours indûment passés en cellule forte.</w:t>
      </w:r>
    </w:p>
    <w:p>
      <w:r>
        <w:t>Or, une telle action en responsabilité de l’État est fondée sur la loi sur la responsabilité de l’État et des communes du 24 février 1989 (LREC - A 2 40) et doit être déposée devant une juridiction civile et non par-devant la chambre de céans. Cette loi permet aux instances civiles de déterminer préalablement si une décision revêt ou non un caractère illicite (ATA/510/2014 du 1er juillet 2014 ; ATA/338/2011 du 24 mai 2011). 9)</w:t>
      </w:r>
    </w:p>
    <w:p>
      <w:r>
        <w:t>Au regard de ce qui précède, les conclusions en indemnisation du recourant seront déclarées irrecevables. Pour le surplus, son recours sera admis, dans la mesure où il est recevable, en tant qu’il porte sur l’illicéité de la décision querellée. 10) Vu la nature et l’issue du litige, aucun émolument ne sera perçu (art. 87 al. 1 LPA ; art. 12 al. 1 du règlement sur les frais, émoluments et indemnités en procédure administrative du 30 juillet 1986 - RFPA - E 5 10.03). Dès lors qu’il y a conclu, une indemnité de procédure de CHF 700.- sera allouée au recourant,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