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ATA/933/2018 vom 11. September 2018</w:t>
      </w:r>
    </w:p>
    <w:p>
      <w:r>
        <w:t>GE Cour de justice, 2018-09-11, FR</w:t>
      </w:r>
    </w:p>
    <w:p>
      <w:r>
        <w:rPr>
          <w:b/>
        </w:rPr>
        <w:t xml:space="preserve">Quelle: </w:t>
      </w:r>
      <w:r>
        <w:t>https://mcp.opencaselaw.ch/entscheid/ge_gerichte_ATA_933_2018</w:t>
      </w:r>
    </w:p>
    <w:p>
      <w:r>
        <w:t>FR: GE_GERICHTE ATA/933/2018 du 11 septembre 2018</w:t>
      </w:r>
    </w:p>
    <w:p>
      <w:r>
        <w:t>IT: GE_GERICHTE ATA/933/2018 del 11 settembre 2018</w:t>
      </w:r>
    </w:p>
    <w:p>
      <w:pPr>
        <w:pStyle w:val="Heading2"/>
      </w:pPr>
      <w:r>
        <w:t>Regeste</w:t>
      </w:r>
    </w:p>
    <w:p>
      <w:r>
        <w:t>Résumé: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leur réplique, les recourants sollicitent la tenue d’un transport sur place afin de constater l’état de la circulation routière du quartier.</w:t>
      </w:r>
    </w:p>
    <w:p>
      <w:r>
        <w:t>La chambre de céans renoncera à cette mesure d’instruction, par appréciation anticipée des preuves, car ces dernières ne sont pas de nature à influer sur la décision à rendre.</w:t>
      </w:r>
    </w:p>
    <w:p>
      <w:r>
        <w:rPr>
          <w:b/>
        </w:rPr>
        <w:t>E. 3</w:t>
      </w:r>
    </w:p>
    <w:p>
      <w:r>
        <w:t>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rPr>
          <w:b/>
        </w:rPr>
        <w:t>E. 4</w:t>
      </w:r>
    </w:p>
    <w:p>
      <w:r>
        <w:t>Le litige porte sur la conformité au droit de l'arrêté du Conseil d'État du 28 juin 2017 rejetant les oppositions des recourants au projet de création de la ZR no 30028-544, adopté par arrêté séparé du même jour.</w:t>
      </w:r>
    </w:p>
    <w:p>
      <w:r>
        <w:rPr>
          <w:b/>
        </w:rPr>
        <w:t>E. 5</w:t>
      </w:r>
    </w:p>
    <w:p>
      <w:r>
        <w:t>Les recourants font valoir que l'instauration de la ZR no 30028-544 viole la garantie de leur propriété. L'intérêt public à une réorganisation du sol ne pouvait leur être opposé vu l'importance du dommage qui leur était causé et l’absence de projet concret d'aménagement.</w:t>
      </w:r>
    </w:p>
    <w:p>
      <w:r>
        <w:rPr>
          <w:b/>
        </w:rPr>
        <w:t>E. 6</w:t>
      </w:r>
    </w:p>
    <w:p>
      <w:r>
        <w:t>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w:t>
      </w:r>
    </w:p>
    <w:p>
      <w:r>
        <w:t>b. À teneur de l'art. 27 LAT, s'il n'existe pas de plan d'affectation ou que l'adaptation d'un tel plan s'impose, l'autorité compétente peut prévoir des ZR dans</w:t>
      </w:r>
    </w:p>
    <w:p>
      <w:r>
        <w:t>- 16/25 - A/3569/2017 des territoires exactement délimités. À l'intérieur de ces zones, rien ne doit être entrepris qui puisse entraver l'établissement du plan d'affectation (al. 1). Une ZR ne peut être prévue que pour cinq ans au plus ; le droit cantonal peut prolonger ce délai (al. 2).</w:t>
      </w:r>
    </w:p>
    <w:p>
      <w:r>
        <w:t>Une ZR, au sens de l'art. 27 LAT, est une mesure conservatoire ou provisionnelle. La ZR équivaut à un plan d'affectation et elle entraîne des restrictions à la propriété (ATF 113 Ia 362 consid. 2 ; DFJP/OFAT, Étude relative à la loi fédérale sur l'aménagement du territoire, nos 2 et 15 ad art. 27) ; elle permet notamment d'interdire temporairement toute construction (DFJP/OFAT, op. cit., no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no 56 ad art. 27 LAT ; Berhnard WALDMANN/Peter HÄNNI, Raumplanungsgesetz, Berne 2006, no 16 ad art. 27 LAT ; arrêt du Tribunal fédéral 1P.365/2006 du 5 octobre 2006 consid. 3.1 et 3.4).</w:t>
      </w:r>
    </w:p>
    <w:p>
      <w:r>
        <w:t>L'art. 27 LAT est considéré comme une base légale suffisante et ne nécessite pas de dispositions cantonales d'exécution (DFJP/OFAT, op. cit., no 7 et 12 ad art. 27). L'intérêt public attaché à la création d'une ZR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 105 Ia 223 consid. 2d; arrêt du Tribunal fédéral 1P.365/2006 du 5 octobre 2006 consid. 3.1).</w:t>
      </w:r>
    </w:p>
    <w:p>
      <w:r>
        <w:t>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w:t>
      </w:r>
    </w:p>
    <w:p>
      <w:r>
        <w:t>- 17/25 - A/3569/2017 justifient, le Conseil d'État peut modifier ou abroger une ZR avant l'expiration du délai prévu à l'al. 1 ; la procédure est identique à celle prévue à l'al. 3 (al. 4).</w:t>
      </w:r>
    </w:p>
    <w:p>
      <w:r>
        <w:t>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w:t>
      </w:r>
    </w:p>
    <w:p>
      <w:r>
        <w:t>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w:t>
      </w:r>
    </w:p>
    <w:p>
      <w:r>
        <w:t>f. Dans un arrêt récent du 13 juin 2017 (ATA/659/2017) examinant le bien- 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w:t>
      </w:r>
    </w:p>
    <w:p>
      <w:r>
        <w:t>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w:t>
      </w:r>
    </w:p>
    <w:p>
      <w:r>
        <w:t>- 18/25 - A/3569/2017</w:t>
      </w:r>
    </w:p>
    <w:p>
      <w:r>
        <w:t>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w:t>
      </w:r>
    </w:p>
    <w:p>
      <w:r>
        <w:t>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w:t>
      </w:r>
    </w:p>
    <w:p>
      <w:r>
        <w:t>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w:t>
      </w:r>
    </w:p>
    <w:p>
      <w:r>
        <w:t>Finalement, le préavis de la commune revêtant un caractère consultatif, il n'appartient pas à la chambre de céans de revoir l'opportunité de la décision du Conseil d'État ou du département. Il en va de même de la délimitation du périmètre de la ZR que les recourants tentent de remettre en cause. En effet, les choix liés à la planification du sol sont essentiellement politiques et relèvent de l’opportunité, qui n’est revue que par le Conseil d’État lors de la procédure d’opposition. La chambre administrative n'est ainsi pas habilitée à examiner l'opportunité des mesures d'aménagement dont elle a à connaître sur recours (art. 61 al. 2 LPA et 35 LaLAT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w:t>
      </w:r>
    </w:p>
    <w:p>
      <w:r>
        <w:t>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w:t>
      </w:r>
    </w:p>
    <w:p>
      <w:r>
        <w:t>- 19/25 - A/3569/2017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w:t>
      </w:r>
    </w:p>
    <w:p>
      <w:r>
        <w:t>Il résulte de ce qui précède que le Conseil d'État pouvait valablement rejeter l'opposition des recourants quant à l'instauration de la ZR no 30028-44, intégrant leurs parcelles.</w:t>
      </w:r>
    </w:p>
    <w:p>
      <w:r>
        <w:rPr>
          <w:b/>
        </w:rPr>
        <w:t>E. 7</w:t>
      </w:r>
    </w:p>
    <w:p>
      <w:r>
        <w:t>Les recourants considèrent que la durée effective de la mesure, soit la ZR no 30028-544, dépasserait celle autorisée par le droit fédéral, à savoir cinq ans, puisqu'elle aurait commencé à courir dès la publication de la carte au mois de juillet 2015 sur le site internet du département.</w:t>
      </w:r>
    </w:p>
    <w:p>
      <w:r>
        <w:rPr>
          <w:b/>
        </w:rPr>
        <w:t>E. 8</w:t>
      </w:r>
    </w:p>
    <w:p>
      <w:r>
        <w:t>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w:t>
      </w:r>
    </w:p>
    <w:p>
      <w:r>
        <w:t>À cet égard, il était prévu que le département supprime sans délai toute carte identifiant des ZR si celles-ci n’avaient pas été adoptées selon la procédure visée à l’art. 13C al. 4 LaLAT (art. 36 al. 5 LaLAT).</w:t>
      </w:r>
    </w:p>
    <w:p>
      <w:r>
        <w:t>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w:t>
      </w:r>
    </w:p>
    <w:p>
      <w:r>
        <w:t>Lors des débats devant le Grand Conseil, les aspects précités ont été rappelés. Il a également été souligné que le but de cette disposition était de « régler l'avenir, en prévoyant que le délai de départ des cinq ans de la ZR</w:t>
      </w:r>
    </w:p>
    <w:p>
      <w:r>
        <w:t>- 20/25 - A/3569/2017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département,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w:t>
      </w:r>
    </w:p>
    <w:p>
      <w:r>
        <w:rPr>
          <w:b/>
        </w:rPr>
        <w:t>E. 12</w:t>
      </w:r>
    </w:p>
    <w:p>
      <w:r>
        <w:t>mai 2017 à 14h, http://ge.ch/grandconseil/memorial/seances/010403/14/23/#1563983).</w:t>
      </w:r>
    </w:p>
    <w:p>
      <w:r>
        <w:t>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w:t>
      </w:r>
    </w:p>
    <w:p>
      <w:r>
        <w:t>Le droit fédéral ne définit pas l'étendue de l'information et de la participation prévues à l'art. 4 LAT. Si l'organisation de séances d'information constitue un moyen efficace de mettre en œuvre cette disposition, il ne s'agit pas d'une obligation légale (DFJP/OFAT, op.cit., no 7 ad art. 4). L'art. 4 al. 1 LAT implique ainsi que la collectivité publique fournisse à la population l'information qui lui est nécessaire pour se forger valablement une opinion (DFJP/OFAT, op.cit., no 12 ad art. 4). Il est par exemple envisageable que la mise en consultation d'un dossier suffise à satisfaire aux exigences du droit d'information et de participation prévu par la législation fédérale. Les autorités compétentes</w:t>
      </w:r>
    </w:p>
    <w:p>
      <w:r>
        <w:t>- 21/25 - A/3569/2017 disposent ainsi d'un large pouvoir d'appréciation dans l'application de l'art. 4 LAT (ATF 133 II 120 consid. 3.2 et les références).</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w:t>
      </w:r>
    </w:p>
    <w:p>
      <w:r>
        <w:t>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no 55 ad art. 27 LAT et les références citées).</w:t>
      </w:r>
    </w:p>
    <w:p>
      <w:r>
        <w:t>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w:t>
      </w:r>
    </w:p>
    <w:p>
      <w:r>
        <w:t>- 22/25 - A/3569/2017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w:t>
      </w:r>
    </w:p>
    <w:p>
      <w:r>
        <w:t>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w:t>
      </w:r>
    </w:p>
    <w:p>
      <w:r>
        <w:t>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w:t>
      </w:r>
    </w:p>
    <w:p>
      <w:r>
        <w:t>- 23/25 - A/3569/2017 étaient réservées. En effet, il était alors relevé que, selon les auditions menées par les députés dans le cadre de l'étude du PL 12023, une décote supplémentaire de l'ordre de 10% à 15%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w:t>
      </w:r>
    </w:p>
    <w:p>
      <w:r>
        <w:t>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9.</w:t>
      </w:r>
    </w:p>
    <w:p>
      <w:r>
        <w:t>À titre principal, le recours sera rejeté s’agissant de l'instauration de la ZR no 30028-544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département. 10.</w:t>
      </w:r>
    </w:p>
    <w:p>
      <w:r>
        <w:t>Vu l’issue du litige et dans la mesure où les recourants succombent sur l'essentiel de leur recours, il ne sera pas perçu d'émolument ni alloué d'indemnité de procédure (art. 87 LPA).</w:t>
      </w:r>
    </w:p>
    <w:p>
      <w:r>
        <w:t>* * * * *</w:t>
      </w:r>
    </w:p>
    <w:p>
      <w:r>
        <w:t>- 24/25 - A/3569/2017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