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ATA/930/2014 vom 25. November 2014</w:t>
      </w:r>
    </w:p>
    <w:p>
      <w:r>
        <w:t>GE Cour de justice, 2014-11-25, FR</w:t>
      </w:r>
    </w:p>
    <w:p>
      <w:r>
        <w:rPr>
          <w:b/>
        </w:rPr>
        <w:t xml:space="preserve">Quelle: </w:t>
      </w:r>
      <w:r>
        <w:t>https://mcp.opencaselaw.ch/entscheid/ge_gerichte_ATA_930_2014</w:t>
      </w:r>
    </w:p>
    <w:p>
      <w:r>
        <w:t>FR: GE_GERICHTE ATA/930/2014 du 25 novembre 2014</w:t>
      </w:r>
    </w:p>
    <w:p>
      <w:r>
        <w:t>IT: GE_GERICHTE ATA/930/2014 del 25 novembre 2014</w:t>
      </w:r>
    </w:p>
    <w:p>
      <w:pPr>
        <w:pStyle w:val="Heading2"/>
      </w:pPr>
      <w:r>
        <w:t>Erwägungen</w:t>
      </w:r>
    </w:p>
    <w:p>
      <w:r>
        <w:rPr>
          <w:b/>
        </w:rPr>
        <w:t>E. 12</w:t>
      </w:r>
    </w:p>
    <w:p>
      <w:r>
        <w:t>septembre 1985 - LPA - E 5 10). 2)</w:t>
      </w:r>
    </w:p>
    <w:p>
      <w:r>
        <w:t>La chambre administrative est liée par les conclusions des parties mais non par les motifs qu'elles invoquent (art. 69 al. 1 LPA). Elle connaît le droit d'office et ne peut se limiter à entériner l'accord auquel sont parvenues les parties</w:t>
      </w:r>
    </w:p>
    <w:p>
      <w:r>
        <w:t>- 4/7 - A/1743/2013 (ATA/779/2010 du 9 novembre 2010 ; ATA/360/2009 du 28 juillet 2009 et la jurisprudence citée). 3)</w:t>
      </w:r>
    </w:p>
    <w:p>
      <w:r>
        <w:t>À teneur de l’art. 1 al. 1 de la loi sur les constructions et les installations diverses du 14 avril 1988 (LCI - L 5 05)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ni modifier la configuration du terrain (let. d).</w:t>
      </w:r>
    </w:p>
    <w:p>
      <w:r>
        <w:t>Dès que les conditions légales sont réunies, le département est tenu de délivrer l’autorisation de construire (art. 1 al. 5 LCI).</w:t>
      </w:r>
    </w:p>
    <w:p>
      <w:r>
        <w:t>Selon l’art. 14 let. a LCI, le département peut refuser les autorisations prévues à l’art. 1 LCI notamment lorsqu’une construction ou une installation peut être la cause d’inconvénients graves pour les usagers, le voisinage ou le public.</w:t>
      </w:r>
    </w:p>
    <w:p>
      <w:r>
        <w:t>Les normes de protection, tel l’art. 14 LCI, sont destinées à sauvegarder les particularités de chaque zone, en prohibant les inconvénients incompatibles avec le caractère d’une zone déterminée ; elles ne visent pas au premier chef à protéger l’intérêt des voisins. La notion d’inconvénients graves de l’art. 14 al. 1 LCI est une notion juridique indéterminée qui laisse à l’autorité une liberté d’appréciation et n’est limitée que par l’excès ou l’abus de pouvoir (ATA/723/2010 du 19 octobre 2010 ; ATA/441/2006 du 31 août 2006 ; ATA B. du 24 juin 1992).</w:t>
      </w:r>
    </w:p>
    <w:p>
      <w:r>
        <w:t>Selon une jurisprudence bien établie, la juridiction de recours observe une certaine retenue pour éviter de substituer sa propre appréciation à celle des entités ayant formulé un préavis dans le cadre de l'instruction de la demande d'autorisation, pour autant que l'autorité inférieure ait suivi l'avis de celles-ci (ATA/417/2009 du 25 août 2009 et les références citées).</w:t>
      </w:r>
    </w:p>
    <w:p>
      <w:r>
        <w:t>En l'espèce, le litige dont la ville a saisi la chambre administrative porte sur la réalisation de barrières le long du chemin des Sports et de l'avenue de Châtelaine ainsi que sur l'installation de portails visant à restreindre l'accès au parc à partir de ces deux axes routiers. Les parties précitées se sont mises d’accord sur des modifications dudit projet, matérialisées dans un plan du 10 novembre 2014 qu’elles ont versé à la procédure. Les modifications sur lesquelles elles se sont mises d’accord atténuent l’ampleur des travaux autorisés, soit une diminution de la hauteur des barrières, renonciation à la pose de barrières permettant de fermer les accès au parc situés sous l’immeuble construit le long du chemin des Sports, mais le maintien d’un portail pour l’accès au parc situé à la hauteur du 5 avenue de Châtelaine, portail coulissant entouré d’un côté d’une barrière et de l’autre d’un mur avec parement de brique. Ces modifications acceptées par les</w:t>
      </w:r>
    </w:p>
    <w:p>
      <w:r>
        <w:t>- 5/7 - A/1743/2013 parties, y compris par le département, ont un impact moins grand sur l’accès au parc que celles qui ont été admises par ce dernier lorsqu’il a délivré l’autorisation complémentaire litigieuse. Elles n’empêchent pas la réalisation du parc public ni l’utilisation de celui-ci par ses futurs usagers et, partant ne contreviennent pas à l’art. 14 LCI ou à d’autres dispositions de la LCI.</w:t>
      </w:r>
    </w:p>
    <w:p>
      <w:r>
        <w:t>Le projet modifié étant conforme au droit, l’accord des parties sera entériné. Le recours de la ville sera partiellement admis. Le jugement du TAPI du</w:t>
      </w:r>
    </w:p>
    <w:p>
      <w:r>
        <w:rPr>
          <w:b/>
        </w:rPr>
        <w:t>E. 16</w:t>
      </w:r>
    </w:p>
    <w:p>
      <w:r>
        <w:t>septembre 2013 sera mis à néant. L’autorisation de construire complémentaire n° DD 104’383/2-4 du 29 avril 2013 sera réformée en ce sens que la pose de clôtures ou de barrières le long du chemin des Sports devra se faire dans le respect du plan au 1/200ème des limites nord et ouest du parc du 10 novembre 2014 visé ne varietur par la chambre administrative.</w:t>
      </w:r>
    </w:p>
    <w:p>
      <w:r>
        <w:t>Vu l’issue du litige et l’accord intervenu, aucun émolument ne sera perçu ni aucune indemnité de procédure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