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ATA/92/2021 vom 26. Januar 2021</w:t>
      </w:r>
    </w:p>
    <w:p>
      <w:r>
        <w:t>GE Cour de justice, 2021-01-26, FR</w:t>
      </w:r>
    </w:p>
    <w:p>
      <w:r>
        <w:rPr>
          <w:b/>
        </w:rPr>
        <w:t xml:space="preserve">Quelle: </w:t>
      </w:r>
      <w:r>
        <w:t>https://mcp.opencaselaw.ch/entscheid/ge_gerichte_ATA_92_2021</w:t>
      </w:r>
    </w:p>
    <w:p>
      <w:r>
        <w:t>FR: GE_GERICHTE ATA/92/2021 du 26 janvier 2021</w:t>
      </w:r>
    </w:p>
    <w:p>
      <w:r>
        <w:t>IT: GE_GERICHTE ATA/92/2021 del 26 gennaio 2021</w:t>
      </w:r>
    </w:p>
    <w:p>
      <w:pPr>
        <w:pStyle w:val="Heading2"/>
      </w:pPr>
      <w:r>
        <w:t>Regeste</w:t>
      </w:r>
    </w:p>
    <w:p>
      <w:r>
        <w:t>Résumé: En matière de constructions, la poursuite et la sanction administrative se prescrivent par sept ans. L’inobservation de dispositions analogues dans ce domaine ne constitue pas un délit continu, car l’absence de remise des lieux en un état conforme à l’ordre légal ne fait pas partie des éléments constitutifs de la norme. La prescription court ainsi dès que les actes interdits par la loi ont été entièrement exécutés.</w:t>
      </w:r>
    </w:p>
    <w:p>
      <w:pPr>
        <w:pStyle w:val="Heading2"/>
      </w:pPr>
      <w:r>
        <w:t>Erwägungen</w:t>
      </w:r>
    </w:p>
    <w:p>
      <w:r>
        <w:rPr>
          <w:b/>
        </w:rPr>
        <w:t>E. 2</w:t>
      </w:r>
    </w:p>
    <w:p>
      <w:r>
        <w:t>juillet 2004 consid. 2.3). 5) a. En l’espèce, la décision contestée, partiellement confirmée par le TAPI, ne précise pas quels sont les travaux effectués sans autorisation ni la période couverte. Néanmoins, selon la décision du 8 décembre 2015, adressée par inadvertance, d’après l’autorité intimée, à l’avocat du recourant, qui a fait l’objet d’une procédure ayant abouti à l’annulation de l’amende infligée à tort à celui-là, le département se référait aux travaux constatés dans le rapport d’enquête du 26 février 2014. Ses décisions antérieures des 13 et 27 mars 2014, ordonnant au recourant et à son architecte de cesser les travaux entrepris, se basent sur le même rapport. Dans son arrêt de renvoi, le Tribunal fédéral retient que le département a, dans ses décisions des 13 et 27 mars 2014, informé le recourant et son mandataire de la nature des travaux réalisés sans autorisation.</w:t>
      </w:r>
    </w:p>
    <w:p>
      <w:r>
        <w:t>Il convient ainsi de retenir que les faits qui fondent l’amende contestée sont ces travaux dont l’arrêt immédiat a été exigé les 13 et 27 mars 2014.</w:t>
      </w:r>
    </w:p>
    <w:p>
      <w:r>
        <w:t>La question de savoir si les deux lettres répondent aux exigences jurisprudentielles de précision précitées souffrira de rester indécise compte tenu de ce qui suit. En effet, la première correspondance ne fait même pas mention d’une infraction. La seconde évoque quatre types de travaux, sur lesquels il sera revenu ci-après, notamment « la présence d’un chauffage électrique dans la cabane serre », sans autre précision.</w:t>
      </w:r>
    </w:p>
    <w:p>
      <w:r>
        <w:t>b. Selon le jugement du TAPI, le département n’impute pas au recourant l’installation du chauffage et de la climatisation, effectuée par un ancien locataire.</w:t>
      </w:r>
    </w:p>
    <w:p>
      <w:r>
        <w:t>- 11/13 - A/166/2018</w:t>
      </w:r>
    </w:p>
    <w:p>
      <w:r>
        <w:t>c. Il ressort du dossier que, dans son courrier du 28 mars 2012 au SMS, M. B_______ a, pour le compte du recourant, annoncé la nécessité de réaliser des travaux urgents qui devaient commencer en avril 2012. Néanmoins, selon les procès-verbaux des séances de chantier produits par le recourant, une séance consacrée à la mise en place du chantier s’est tenue le 22 février 2013. Une autre, qui mentionne que M. H_______ n’avait pas d’objections aux travaux, a eu lieu le</w:t>
      </w:r>
    </w:p>
    <w:p>
      <w:r>
        <w:rPr>
          <w:b/>
        </w:rPr>
        <w:t>E. 7</w:t>
      </w:r>
    </w:p>
    <w:p>
      <w:r>
        <w:t>mai 2013. Le procès-verbal d’une séance tenue le 16 juillet 2013 indique que la démolition des sols, de la toiture, de la superstructure derrière la terrasse ainsi que la pose d’une étanchéité provisoire des fonds étaient en cours. D’autres travaux notamment ceux relatifs à la piscine, aux fenêtres et aux vitrages étaient en attente de l’autorisation de construire. Le dernier procès-verbal de séance de chantier, avant l’octroi de l’autorisation de construire du 8 décembre 2015, date du 22 octobre 2013. Il y est mentionné que certains travaux, comme les vitrages coulissant et fixes, étaient terminés. D’autres étaient prévus pour les 28 et 29 octobre 2013, comme diverses interventions sur la superstructure. De même, le témoin a déclaré avoir écrit au département le 28 mars 2012 et fait une ouverture de chantier le 14 mars 2013 annonçant le début des travaux en avril 2013 pour une durée de six à huit mois. M. H_______ était, au nom du département, venu constater l'état de la toiture et avait donné son accord pour commencer les travaux. Ils avaient évoqué tous les travaux figurant dans le courrier du 28 mars 2012.</w:t>
      </w:r>
    </w:p>
    <w:p>
      <w:r>
        <w:t>Il s’avère ainsi que les travaux reprochés au recourant ont commencé, à teneur des procès-verbaux de chantier, en février 2013 et ont pris fin en octobre 2013. Ceux entrepris par la suite étaient autorisés. En matière du droit des constructions, conformément à la jurisprudence susrappelée de la chambre de céans, la prescription commençant à courir dès que les actes interdits par la loi ont été entièrement exécutés, pour une durée de sept ans, la poursuite de l’infraction en cause est prescrite depuis octobre 2020. Au demeurant, la même solution s’imposerait, si on devait tenir compte du début des travaux comme point de départ de la prescription.</w:t>
      </w:r>
    </w:p>
    <w:p>
      <w:r>
        <w:t>Ainsi, la poursuite étant prescrite, le jugement du TAPI sera annulé ainsi que la décision prononçant l’amende contestée.</w:t>
      </w:r>
    </w:p>
    <w:p>
      <w:r>
        <w:t>La question de savoir si tous les travaux mentionnés sur les lettres devaient faire l’objet d’une autorisation, à l’instar de la « présence d’une climatisation dans la chambre » mentionnée sur le courrier du 27 mars 2014, d’ailleurs non reprochée ultérieurement au recourant selon les déclarations faites devant le TAPI le 11 octobre 2018, souffriront de rester indécise.</w:t>
      </w:r>
    </w:p>
    <w:p>
      <w:r>
        <w:t>Les considérants qui précèdent conduisent à l’admission du recours. 6)</w:t>
      </w:r>
    </w:p>
    <w:p>
      <w:r>
        <w:t>Malgré l’issue du litige, aucun émolument ne sera perçu (art. 87 al. 1 LPA). Une indemnité de procédure de CHF 1'000.- sera allouée au recourant à la charge de l’État de Genève (art. 87 al. 2 LPA).</w:t>
      </w:r>
    </w:p>
    <w:p>
      <w:r>
        <w:t>- 12/13 - A/166/2018</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