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ATA/92/2017 vom 3. Februar 2017</w:t>
      </w:r>
    </w:p>
    <w:p>
      <w:r>
        <w:t>GE Cour de justice, 2017-02-03, FR</w:t>
      </w:r>
    </w:p>
    <w:p>
      <w:r>
        <w:rPr>
          <w:b/>
        </w:rPr>
        <w:t xml:space="preserve">Quelle: </w:t>
      </w:r>
      <w:r>
        <w:t>https://mcp.opencaselaw.ch/entscheid/ge_gerichte_ATA_92_2017</w:t>
      </w:r>
    </w:p>
    <w:p>
      <w:r>
        <w:t>FR: GE_GERICHTE ATA/92/2017 du 3 février 2017</w:t>
      </w:r>
    </w:p>
    <w:p>
      <w:r>
        <w:t>IT: GE_GERICHTE ATA/92/2017 del 3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LEtr du 16 juin 1988 - LaLEtr - F 2 10 ; art. 17 al. 3 de la loi sur la procédure administrative du 12 septembre 1985 - LPA - E 5 10).</w:t>
      </w:r>
    </w:p>
    <w:p>
      <w:r>
        <w:rPr>
          <w:b/>
        </w:rPr>
        <w:t>E. 2</w:t>
      </w:r>
    </w:p>
    <w:p>
      <w:r>
        <w:t>Selon l’art. 10 al. 2 1ère phr. LaLEtr, la chambre administrative doit statuer dans les dix jours qui suivent sa saisine. Ayant reçu le recours le 24 janvier 2017 et statuant ce jour, elle respecte ce délai.</w:t>
      </w:r>
    </w:p>
    <w:p>
      <w:r>
        <w:t>La chambre administrative est en outre compétente pour apprécier l'opportunité des décisions portées devant elle (art. 10 al. 2 2ème phr. LaLEtr).</w:t>
      </w:r>
    </w:p>
    <w:p>
      <w:r>
        <w:rPr>
          <w:b/>
        </w:rPr>
        <w:t>E. 3</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w:t>
      </w:r>
    </w:p>
    <w:p>
      <w:r>
        <w:t>c. Tel est le cas en l’espèce. L’une des personnes dont le recourant sollicite l’audition a fait une déclaration sur l’honneur qui figure au dossier et l’autre témoin devrait apporter des éléments généraux sur la situation au Nigéria. Ces éléments n’apparaissent toutefois pas ressortir du domaine de compétence de la chambre administrative statuant en matière de détention administrative, sauf cas exceptionnel non réalisé en l'espèce.</w:t>
      </w:r>
    </w:p>
    <w:p>
      <w:r>
        <w:t>Pour les mêmes motifs, le grief portant sur la violation du droit d’être entendu de l’intéressé par le TAPI doit être écarté.</w:t>
      </w:r>
    </w:p>
    <w:p>
      <w:r>
        <w:rPr>
          <w:b/>
        </w:rPr>
        <w:t>E. 4</w:t>
      </w:r>
    </w:p>
    <w:p>
      <w:r>
        <w:t>Dans son arrêt du 7 décembre 2016, la chambre administrative a confirmé que les conditions d’un maintien en détention en vue de renvoi du recourant en raison d’un risque de fuite au sens des art. 76 al. 1 let. b ch. 3 et 4 LEtr étaient réalisées. Depuis lors, aucune circonstance nouvelle n’est apparue qui remettrait en cause cette appréciation.</w:t>
      </w:r>
    </w:p>
    <w:p>
      <w:r>
        <w:t>- 5/7 - A/9/2017</w:t>
      </w:r>
    </w:p>
    <w:p>
      <w:r>
        <w:rPr>
          <w:b/>
        </w:rPr>
        <w:t>E. 5</w:t>
      </w:r>
    </w:p>
    <w:p>
      <w:r>
        <w:t>Le recourant fonde uniquement son recours sur l’impossibilité juridique de le renvoyer au Nigéria.</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b. L’impossibilité peut être juridique (refus de l'État d'origine de reprendre la personne ; ATF 125 II 217 consid. 2 = RDAF 2000 I 811)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w:t>
      </w:r>
    </w:p>
    <w:p>
      <w:r>
        <w:t>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1er juin 2010 consid. 4 et 2C_473/2010 du 25 juin 2010 consid. 4.1).</w:t>
      </w:r>
    </w:p>
    <w:p>
      <w:r>
        <w:t>c. Le juge de la détention doit en principe seulement s'assurer qu'une décision de renvoi existe, sans avoir à vérifier la légalité de cette dernière (arrêts du Tribunal fédéral 2C_173/2014 du 17 février 2014 consid. 3.1 ; 2C_1177/2013 du 17 janvier 2014).</w:t>
      </w:r>
    </w:p>
    <w:p>
      <w:r>
        <w:t>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w:t>
      </w:r>
    </w:p>
    <w:p>
      <w:r>
        <w:t>- 6/7 - A/9/2017 détention en application de l'art. 80 al. 6 let. a LEtr, étant donné que l'exécution d'un tel ordre illicite ne doit pas être assurée par les mesures de contrainte (arrêts du Tribunal fédéral 2C_173/2014 précité consid. 3.1 ; 2C_256/2013 précité consid. 4.5 et les arrêts cités).</w:t>
      </w:r>
    </w:p>
    <w:p>
      <w:r>
        <w:t>d. En l’espèce, ces principes, qui ont déjà été rappelés dans l’ATA/1030/2016 du 7 décembre 2016, conduisent à écarter ce grief. À ce stade, la décision de refus d’asile et de renvoi initial ne peut être qualifiée d’arbitraire et n’est pas nulle. La demande de reconsidération formée par le recourant est en cours d’instruction devant l’autorité fédérale, laquelle, après avoir demandé aux autorités cantonales de surseoir au renvoi à titre provisoire, a précisé qu’elle devrait statuer à bref délai.</w:t>
      </w:r>
    </w:p>
    <w:p>
      <w:r>
        <w:rPr>
          <w:b/>
        </w:rPr>
        <w:t>E. 6</w:t>
      </w:r>
    </w:p>
    <w:p>
      <w:r>
        <w:t>Vu ce qui précède, le recours, infondé, sera rejeté.</w:t>
      </w:r>
    </w:p>
    <w:p>
      <w:r>
        <w:rPr>
          <w:b/>
        </w:rPr>
        <w:t>E. 7</w:t>
      </w:r>
    </w:p>
    <w:p>
      <w:r>
        <w:t>Vu la nature du litige, il ne sera pas perçu d’émolument (art. 87 al. 1 LPA et</w:t>
      </w:r>
    </w:p>
    <w:p>
      <w:r>
        <w:rPr>
          <w:b/>
        </w:rPr>
        <w:t>E. 12</w:t>
      </w:r>
    </w:p>
    <w:p>
      <w:r>
        <w:t>al. 1 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