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ATA/92/2016 vom 2. Februar 2016</w:t>
      </w:r>
    </w:p>
    <w:p>
      <w:r>
        <w:t>GE Cour de justice, 2016-02-02, FR</w:t>
      </w:r>
    </w:p>
    <w:p>
      <w:r>
        <w:rPr>
          <w:b/>
        </w:rPr>
        <w:t xml:space="preserve">Quelle: </w:t>
      </w:r>
      <w:r>
        <w:t>https://mcp.opencaselaw.ch/entscheid/ge_gerichte_ATA_92_2016</w:t>
      </w:r>
    </w:p>
    <w:p>
      <w:r>
        <w:t>FR: GE_GERICHTE ATA/92/2016 du 2 février 2016</w:t>
      </w:r>
    </w:p>
    <w:p>
      <w:r>
        <w:t>IT: GE_GERICHTE ATA/92/2016 del 2 febbraio 2016</w:t>
      </w:r>
    </w:p>
    <w:p>
      <w:pPr>
        <w:pStyle w:val="Heading2"/>
      </w:pPr>
      <w:r>
        <w:t>Regeste</w:t>
      </w:r>
    </w:p>
    <w:p>
      <w:r>
        <w:t>Résumé: L'exploitation de tout établissement public est soumise à l'obtention préalable d'une autorisation d'exploiter. Le bénéficiaire a l'obligation d'assurer une exploitation personnelle et effective de son établissement et il lui est formellement interdit de servir de prête-nom. Lorsque les tâches essentielles liées à la bonne marche de l'établissement sont de fait assumées par une personne ne bénéficiant pas d'une autorisation d'exploiter, l'autorité est en droit de lui infliger une sanction administrative (amende).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 recourante a requis son audition et celle des auteurs des rapports de police des 5 septembre et 10 décembre 2014.</w:t>
      </w:r>
    </w:p>
    <w:p>
      <w:r>
        <w:t>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 l'administration des preuves, d'en prendre connaissance et de se déterminer à leur propos (ATF 140 I 60 consid. 3.3 p. 64 ; arrêt du Tribunal fédéral 8C_702/2014 du 16 octobre 2015 consid. 4.2 ; ATA/1296/2015 du 8 décembre 2015). Il ne comprend pas le droit d'être entendu oralement ni celui d'obtenir l’audition de témoins (ATF 130 II 425 consid. 2.1 p. 428 ; ATA/311/2015 du 31 mars 2015).</w:t>
      </w:r>
    </w:p>
    <w:p>
      <w:r>
        <w:t>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p. 236 ; ATA/1296/2015 précité).</w:t>
      </w:r>
    </w:p>
    <w:p>
      <w:r>
        <w:t>c. L’audition de témoins est ordonnée lorsque les faits pertinents ne peuvent être éclaircis autrement (art. 28 al. 1 LPA).</w:t>
      </w:r>
    </w:p>
    <w:p>
      <w:r>
        <w:t>- 8/14 - A/768/2015</w:t>
      </w:r>
    </w:p>
    <w:p>
      <w:r>
        <w:t>d. En l’espèce, les parties ont eu l’occasion de s’exprimer par écrit durant la procédure, d’exposer leur point de vue et de produire les pièces qu’elles jugeaient utiles à l’appui de leurs allégués. La chambre de céans dispose d'un dossier complet et les pièces, notamment les rapports de police détaillés et précis des</w:t>
      </w:r>
    </w:p>
    <w:p>
      <w:r>
        <w:rPr>
          <w:b/>
        </w:rPr>
        <w:t>E. 5</w:t>
      </w:r>
    </w:p>
    <w:p>
      <w:r>
        <w:t>Le litige porte sur l’amende administrative infligée à la recourante par le Scom pour avoir exploité un établissement public sans autorisation préalable en se servant d’un prête-nom.</w:t>
      </w:r>
    </w:p>
    <w:p>
      <w:r>
        <w:t>a. L’aLRDBH régit notamment l’exploitation à titre onéreux d’établissements voués à la restauration et au débit de boissons à consommer sur place (art. 1 let. a aLRDBH). Elle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let. a aLRDBH).</w:t>
      </w:r>
    </w:p>
    <w:p>
      <w:r>
        <w:t>- 10/14 - A/768/2015</w:t>
      </w:r>
    </w:p>
    <w:p>
      <w:r>
        <w:t>b. À teneur de l’art. 4 al. 1 aLRDBH, l’exploitation de tout établissement régie par cette loi est soumise à l’obtention préalable d’une autorisation d’exploiter. Celle-ci doit être requise lors de chaque création, changement de catégorie, agrandissement et transformation d’établissement, changement d’exploitant ou de propriétaire de l’établissement ou modification des conditions de l’autorisation antérieure (art. 4 al. 2 aLRDBH). Il revient au Scom de recevoir et d’instruire les requêtes et de délivrer les autorisations prévues par l’aLRDBH, de même qu’il prononce les mesures et les sanctions administratives prévues par celle-ci (art. 1 al. 2 aRRDBH).</w:t>
      </w:r>
    </w:p>
    <w:p>
      <w:r>
        <w:t>L'autorisation d'exploiter est notamment subordonnée à la condition que le requérant soit titulaire d'un certificat de capacité (art. 5 al. 1 let. c aLRDBH). Elle est strictement personnelle et intransmissible (art. 15 al. 3 aLRDBH). L'exploitant est ainsi tenu de gérer son établissement de façon personnelle et effective (art. 21 al. 1 aLRDBH). La gestion personnelle et effective doit permettre de limiter le nombre d'établissements dont une même personne peut être exploitante (Mémorial du Grand Conseil (MGC) 1985 34/III, p. 4240). Elle consiste en la prise en charge des tâches administratives liées, d'une part, au personnel notamment pour ce qui est des engagements, des salaires, des horaires et des remplacements et, d'autre part, à la bonne marche de l'établissement s’agissant par exemple des commandes de marchandises, de fixation des prix, de composition des menus, de contrôle de la caisse et de l’inventaire (ATA/182/2006 du 28 mars 2006 ; ATA/489/2005 du 19 juillet 2005 ; ATA/664/2004 du 24 août 2004). Elle requiert la présence régulière de l’exploitant durant une grande partie des heures d’ouverture de l’établissement (ATA/182/2006 précité).</w:t>
      </w:r>
    </w:p>
    <w:p>
      <w:r>
        <w:t>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(art. 12 aLRDBH ; ATA/588/2000 du 26 septembre 2000 ; MGC 1985 34/III, op. cit., p. 4244 et 4248). Sert de prête-nom, au sens de la loi, l’exploitant qui ne gère pas personnellement et effectivement l’établissement pour lequel il a sollicité et obtenu une autorisation d’exploitation.</w:t>
      </w:r>
    </w:p>
    <w:p>
      <w:r>
        <w:t>L’interdiction de prête-nom vise à prévenir l'exploitation d'établissements par des personnes qui ne répondraient pas à des conditions de capacité et d'honorabilité bien déterminées, avec tout ce que cela comporte comme risque pour le public (ATA/588/2000 précité). Les travaux préparatoires de l’aLRDBH relèvent que la loi entend protéger l'ordre public contre les perturbations que l'exploitation d'un établissement est susceptible d'engendrer et que c'est dans ce but que les dispositions visant à garantir l'exploitation personnelle et effective de l'établissement par l'exploitant autorisé ont été édictées (ATA/609/2007 du 27 novembre 2007 ; MGC 1985 34/III, op. cit., p. 4234).</w:t>
      </w:r>
    </w:p>
    <w:p>
      <w:r>
        <w:t>- 11/14 - A/768/2015</w:t>
      </w:r>
    </w:p>
    <w:p>
      <w:r>
        <w:t>c. À teneur de l’art. 74 al. 1 aLRDBH, le département peut infliger une amende administrative de CHF 100.- à CHF 60'000.-, indépendamment du prononcé de l’une des sanctions prévues aux art. 70 à 73 aLRDBH, en cas d’infraction à la présente loi et à ses dispositions d’application, ainsi qu’aux conditions particulières des autorisations qu’elles prévoient.</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(ATA/346/2015 du 14 avril 2015 ; ATA/282/2015 du 17 mars 2015 ; Pierre MOOR/Étienne POLTIER, Droit administratif, Les actes administratifs et leur contrôle, vol. 2, 2011, p. 160 ss ch. 1.4.5.5).</w:t>
      </w:r>
    </w:p>
    <w:p>
      <w:r>
        <w:t>Les dispositions de la partie générale du code pénal suisse du 21 décembre 1937 (CP - RS 311.0) s'appliquent à titre de droit cantonal supplétif, sous réserve de celles qui concernent exclusivement le juge pénal (art. 1 let. a de la loi pénale genevoise du 17 novembre 2006 - LPG - E 4 05). Il est ainsi nécessaire que le contrevenant ait commis une faute, fût-ce sous la forme d’une simple négligence (Ulrich HÄFELIN/Georg MÜLLER/Felix UHLMANN, Allgemeines Verwaltungsrecht, 6ème éd., 2010, p. 271 n. 1179). L’administration doit faire preuve de sévérité afin d’assurer le respect de la loi et jouit d’un large pouvoir d’appréciation pour infliger une amende (ATA/346/2015 précité ; ATA/282/2015 précité). La chambre de céans ne revoit une amende qu’en cas d’excès ou d'abus (ATA/134/2014 du 4 mars 2014). Sont prises en considération la nature, la gravité et la fréquence des infractions commises dans le respect du principe de la proportionnalité (ATA/685/2014 du 26 août 2014 ; ATA/700/2012 du 16 octobre 2012). Enfin, l’amende doit respecter le principe de la proportionnalité (ATA/533/2010 du 4 août 2010).</w:t>
      </w:r>
    </w:p>
    <w:p>
      <w:r>
        <w:t>L’autorité qui prononce une mesure administrative ayant le caractère d’une sanction doit également faire application des principes applicables à la fixation de la peine contenus aux art. 47 ss CP,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w:t>
      </w:r>
    </w:p>
    <w:p>
      <w:r>
        <w:t>d. Il y a abus du pouvoir d’appréciation lorsque l’autorité, tout en restant dans les limites du pouvoir d’appréciation qui est le sien, se fonde sur les considérations qui manquent de pertinence et sont étrangères au but visé par les</w:t>
      </w:r>
    </w:p>
    <w:p>
      <w:r>
        <w:t>- 12/14 - A/768/2015 dispositions légales applicables ou viole des principes généraux de droit, tels que l’interdiction de l’arbitraire et de l’inégalité de traitement, le principe de la bonne foi et le principe de la proportionnalité (ATF 137 V 71 consid. 5.1 p. 73 ; 123 V 150 consid. 2 p. 152 ; ATA/950/2014 du 2 décembre 2014).</w:t>
      </w:r>
    </w:p>
    <w:p>
      <w:r>
        <w:t>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 ATA/872/2014 du 11 novembre 2014 ; ATA/439/2014 du 17 juin 2014).</w:t>
      </w:r>
    </w:p>
    <w:p>
      <w:r>
        <w:t>Appelée à examiner le caractère arbitraire d’une décision, la chambre de céans suit le raisonnement du Tribunal fédéral en la matière (ATA/971/2014 du</w:t>
      </w:r>
    </w:p>
    <w:p>
      <w:r>
        <w:rPr>
          <w:b/>
        </w:rPr>
        <w:t>E. 9</w:t>
      </w:r>
    </w:p>
    <w:p>
      <w:r>
        <w:t>décembre 2014 ; ATA/117/2013 du 26 février 2013). 6.</w:t>
      </w:r>
    </w:p>
    <w:p>
      <w:r>
        <w:t>En l’occurrence, il est établi que Mme A______ était inscrite sur la porte d’entrée du L______ comme exploitante du restaurant et qu’elle était en possession des factures à payer et d’un éventuel registre du personnel lors du contrôle du 10 décembre 2014, alors qu’elle ne disposait pas d’une autorisation d’exploiter cet établissement. Ses déclarations à la police confirment en outre qu’elle était la responsable du L______. Il ressort également du rapport de police du 5 septembre 2014 qu’elle était présente lors du contrôle du 4 septembre 2014. De plus, au cours de la présente procédure, elle a admis que M. E______ ayant accepté de lui permettre d’être active à titre indépendant au sein d’un seul commerce, elle avait débuté son activité au L______. Son envie d’être indépendante au sein de cet établissement avait pris le pas sur les diverses démarches formelles et administratives à accomplir. Elle était allée très vite en besogne en inscrivant son nom sur la porte de l’établissement.</w:t>
      </w:r>
    </w:p>
    <w:p>
      <w:r>
        <w:t>Par ailleurs, les faits résultant du dossier prouvent que M. E______ n’assumait pas les tâches essentielles liées à la bonne marche de l’établissement. Ils confirment aussi que les activités de ce dernier dans le restaurant étaient ponctuelles et marginales. Celui-ci a en effet admis dans ses déclarations du</w:t>
      </w:r>
    </w:p>
    <w:p>
      <w:r>
        <w:rPr>
          <w:b/>
        </w:rPr>
        <w:t>E. 10</w:t>
      </w:r>
    </w:p>
    <w:p>
      <w:r>
        <w:t>décembre 2014 à la police, malgré ses dénégations ultérieures, avoir été présent au L______ pendant une heure par jour et que son activité se résumait à l’achat des marchandises. Cette présence limitée à une heure par jour et cette activité de s’occuper des commandes du restaurant ne remplissent pas les critères</w:t>
      </w:r>
    </w:p>
    <w:p>
      <w:r>
        <w:t>- 13/14 - A/768/2015 légaux et jurisprudentiels d’une gestion personnelle et effective d’un établissement public. L’intéressé a ainsi servi de prête-nom à la recourante qui assurait une exploitation de fait personnelle et effective du restaurant par le truchement de son entreprise individuelle « Le L______ - A______ » qu’elle avait inscrite au RC dans ce but.</w:t>
      </w:r>
    </w:p>
    <w:p>
      <w:r>
        <w:t>Le principe d'une amende pour violation des dispositions légales applicables à l’interdiction d’exploiter un établissement public sans autorisation préalable est dès lors justifié. Compte tenu du fait que la violation de cette interdiction remonte à l’ouverture du L______, cette situation n’ayant pas été transitoire, comme le prétend la recourante, aucune démarche visant son autorisation d’exploiter un établissement public n’ayant été entreprise dès l’obtention de son certificat de capacité, la quotité de l’amende fixée à CHF 1'500.- échappe à la critique. Celle-ci paraît aussi proportionnée par rapport à la situation personnelle de la recourante, qui allègue être toujours employée de M. E______.</w:t>
      </w:r>
    </w:p>
    <w:p>
      <w:r>
        <w:t>L'amende de CHF 1'500.- infligée par le Scom à la recourante est dès lors conforme au droit. 7.</w:t>
      </w:r>
    </w:p>
    <w:p>
      <w:r>
        <w:t>La chambre de céans n’examinera pas la question des antécédents qui seraient pris en considération par le Scom dans le cadre d’une éventuelle requête de la recourante en autorisation d’exploiter un établissement public, l’autorité intimée n’ayant intégré dans le dispositif de sa décision aucune mesure dans ce sens. 8.</w:t>
      </w:r>
    </w:p>
    <w:p>
      <w:r>
        <w:t>Ce qui précède conduit au rejet du recours.</w:t>
      </w:r>
    </w:p>
    <w:p>
      <w:r>
        <w:t>Vu l’issue du litige, un émolument de CHF 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