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ATA/92/2012 vom 17. Februar 2012</w:t>
      </w:r>
    </w:p>
    <w:p>
      <w:r>
        <w:t>GE Cour de justice, 2012-02-17, FR</w:t>
      </w:r>
    </w:p>
    <w:p>
      <w:r>
        <w:rPr>
          <w:b/>
        </w:rPr>
        <w:t xml:space="preserve">Quelle: </w:t>
      </w:r>
      <w:r>
        <w:t>https://mcp.opencaselaw.ch/entscheid/ge_gerichte_ATA_92_2012</w:t>
      </w:r>
    </w:p>
    <w:p>
      <w:r>
        <w:t>FR: GE_GERICHTE ATA/92/2012 du 17 février 2012</w:t>
      </w:r>
    </w:p>
    <w:p>
      <w:r>
        <w:t>IT: GE_GERICHTE ATA/92/2012 del 17 febbraio 2012</w:t>
      </w:r>
    </w:p>
    <w:p>
      <w:pPr>
        <w:pStyle w:val="Heading2"/>
      </w:pPr>
      <w:r>
        <w:t>Erwägungen</w:t>
      </w:r>
    </w:p>
    <w:p>
      <w:r>
        <w:rPr>
          <w:b/>
        </w:rPr>
        <w:t>E. 1</w:t>
      </w:r>
    </w:p>
    <w:p>
      <w:r>
        <w:t>La compétence pour ordonner la restitution de l’effet suspensif appartient au président de la chambre administrative de la Cour de justice (ci-après : la chambre administrative ; art. 5 al. 1 du règlement interne de la chambre administrative du 21 décembre 2010, entré en vigueur le 1er janvier 2011).</w:t>
      </w:r>
    </w:p>
    <w:p>
      <w:r>
        <w:rPr>
          <w:b/>
        </w:rPr>
        <w:t>E. 2</w:t>
      </w:r>
    </w:p>
    <w:p>
      <w:r>
        <w:t>Sauf disposition légale contraire, le recours a effet suspensif (art. 66 al. 1 de la loi sur la procédure administrative du 12 septembre 1985 - LPA - E 5 10). L’autorité décisionnaire peut toutefois ordonner l’exécution immédiate de sa propre décision,</w:t>
      </w:r>
    </w:p>
    <w:p>
      <w:r>
        <w:t>- 4/5 - A/95/2012 nonobstant recours, tandis que l’autorité judiciaire saisie d’un recours peut, d’office ou sur requête, restituer l’effet suspensif à ce dernier (art. 66 al. 2 LPA).</w:t>
      </w:r>
    </w:p>
    <w:p>
      <w:r>
        <w:rPr>
          <w:b/>
        </w:rPr>
        <w:t>E. 3</w:t>
      </w:r>
    </w:p>
    <w:p>
      <w:r>
        <w:t>La révocation d’un fonctionnaire est de la compétence du Conseil d’Etat (art. 16 al. 1 let. c de la loi générale relative au personnel de l’administration cantonale, du pouvoir judiciaire et des établissements publics médicaux du</w:t>
      </w:r>
    </w:p>
    <w:p>
      <w:r>
        <w:rPr>
          <w:b/>
        </w:rPr>
        <w:t>E. 4</w:t>
      </w:r>
    </w:p>
    <w:p>
      <w:r>
        <w:t>A teneur des art. 30 al. 3 et 31 al 2 et 3 LPAC, la chambre administrative ne peut imposer la réintégration d’un fonctionnaire, sauf si elle constate l’absence de violation des devoirs de service ce qui, en l’espèce, ne s’impose pas d’emblée et fera l’objet du jugement au fond, après l’administration des mesures probatoires nécessaires (ATA/160/2011 du 11 mars 2011). Il en est de même pour la violation alléguée du droit d'être entendu, dont réalisation n'est à première vue pas avérée. Le rapport d'enquête administrative sur lequel le recourant a pu se déterminer indique - suite à un complément d'enquête demandé par l'autorité - remplacer le premier rapport qui avait été rédigé. M. P______ a pu se déterminer au sujet des auditions auxquelles il n'a pas pu assister. En dernier lieu, l'éventuelle mélange entre la procédure de licenciement et celle de révocation n'apparaît pas à première vue déterminante en l'espèce dès lors que l'absence de violation des devoirs de service ne s'impose pas prima facie.</w:t>
      </w:r>
    </w:p>
    <w:p>
      <w:r>
        <w:t>De plus, l’autorité intimée a clairement indiqué qu’elle n’entendait pas réemployer M. P______ dans l’avenir. Si la chambre administrative faisait droit à la demande de restitution de l’effet suspensif présentée par le recourant, elle rendrait une décision allant au-delà des compétences qui sont les siennes sur le fond (ATA/343/2011 du 25 mai 2011 ; ATA/160/2011 du 11 mars 2011 ; ATA/627/2010 du 8 septembre 2010 ; ATA/388/2009 du 11 août 2009 ; ATA/301/2007 du 11 juin 2007).</w:t>
      </w:r>
    </w:p>
    <w:p>
      <w:r>
        <w:rPr>
          <w:b/>
        </w:rPr>
        <w:t>E. 5</w:t>
      </w:r>
    </w:p>
    <w:p>
      <w:r>
        <w:t>Au vu de ce qui précède, la demande de restitution d'effet suspensif sera rejetée. LA CHAMBRE ADMINISTRATIVE rejette la demande de restitution de l’effet suspensif formulée le 16 janvier 2012 par Monsieur P______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- 5/5 - A/95/2012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du recourant, ainsi qu'au Conseil d'Etat.</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