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ATA/928/2025 vom 26. August 2025</w:t>
      </w:r>
    </w:p>
    <w:p>
      <w:r>
        <w:t>GE Cour de justice, 2025-08-26, FR</w:t>
      </w:r>
    </w:p>
    <w:p>
      <w:r>
        <w:rPr>
          <w:b/>
        </w:rPr>
        <w:t xml:space="preserve">Quelle: </w:t>
      </w:r>
      <w:r>
        <w:t>https://mcp.opencaselaw.ch/entscheid/ge_gerichte_ATA_928_2025</w:t>
      </w:r>
    </w:p>
    <w:p>
      <w:r>
        <w:t>FR: GE_GERICHTE ATA/928/2025 du 26 août 2025</w:t>
      </w:r>
    </w:p>
    <w:p>
      <w:r>
        <w:t>IT: GE_GERICHTE ATA/928/2025 del 26 agosto 2025</w:t>
      </w:r>
    </w:p>
    <w:p>
      <w:pPr>
        <w:pStyle w:val="Heading2"/>
      </w:pPr>
      <w:r>
        <w:t>Regeste</w:t>
      </w:r>
    </w:p>
    <w:p>
      <w:r>
        <w:t>Résumé: Recours contre un jugement du TAPI confirmant une interdiction d’exploiter un cabinet médical prononcée à l'endroit du locataire. Recours du bailleur. Ce dernier, qui n'est pas destinataire de ladite décision, n'est touché qu'indirectement par celle-ci et n'est dans tous les cas pas touché plus que la locataire, qui a d'ailleurs renoncé à recourir contre le jugement du TAPI. En outre, la locataire a quitté les locaux. Dès lors, faute pour le recourant d'être touché plus que la locataire par la décision litigieuse et d'avoir un intérêt actuel à son annulation, il ne dispose pas de la qualité pour recourir. Recours déclaré irrecevable.</w:t>
      </w:r>
    </w:p>
    <w:p>
      <w:pPr>
        <w:pStyle w:val="Heading2"/>
      </w:pPr>
      <w:r>
        <w:t>Erwägungen</w:t>
      </w:r>
    </w:p>
    <w:p>
      <w:r>
        <w:rPr>
          <w:b/>
        </w:rPr>
        <w:t>E. 1</w:t>
      </w:r>
    </w:p>
    <w:p>
      <w:r>
        <w:t>Le recours a été interjeté en temps utile et devant la juridiction compétente (art. 132 de la loi sur l'organisation judiciaire du 26 septembre 2010 - LOJ - E 2 05 ; art. 62 al. 1 let. a de la loi sur la procédure administrative du 12 septembre 1985 - LPA - E 5 10).</w:t>
      </w:r>
    </w:p>
    <w:p>
      <w:r>
        <w:rPr>
          <w:b/>
        </w:rPr>
        <w:t>E. 1.1</w:t>
      </w:r>
    </w:p>
    <w:p>
      <w:r>
        <w:t>Se pose la question de l'intérêt à recourir de la recourante.</w:t>
      </w:r>
    </w:p>
    <w:p>
      <w:r>
        <w:rPr>
          <w:b/>
        </w:rPr>
        <w:t>E. 1.2</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(ATA/1454/2024 du 10 décembre 2024 consid. 3.1 ; ATA/1078/2024 du 10 septembre 2024 consid. 2.1 et l'arrêt cité ; Stéphane GRODECKI/Romain JORDAN, Code annoté de procédure administrative genevoise, 2017, p. 184 n. 698).</w:t>
      </w:r>
    </w:p>
    <w:p>
      <w:r>
        <w:rPr>
          <w:b/>
        </w:rPr>
        <w:t>E. 1.3</w:t>
      </w:r>
    </w:p>
    <w:p>
      <w:r>
        <w:t>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w:t>
      </w:r>
    </w:p>
    <w:p>
      <w:r>
        <w:t>- 6/9 - A/4176/2023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de même insuffisant (ATF 144 I 43 consid. 2.1). Cet intérêt doit encore être direct. Le recourant doit démontrer que sa situation factuelle ou juridique peut être avantageusement influencée par l’issue du recours. Tel n’est pas le cas de celui qui n’est atteint que de manière indirecte, médiate ou encore « par ricochet » (ATF 135 I 43 consid. 1.4 ; 133 V 239 consid. 6.2). Un intérêt seulement indirect à l’annulation ou à la modification de la décision attaquée n’est donc pas suffisant (ATF 138 V 292 consid. 4 ; arrêt du Tribunal fédéral 1B_446/2020 du 27 avril 2021 consid. 3.3).</w:t>
      </w:r>
    </w:p>
    <w:p>
      <w:r>
        <w:rPr>
          <w:b/>
        </w:rPr>
        <w:t>E. 1.4</w:t>
      </w:r>
    </w:p>
    <w:p>
      <w:r>
        <w:t>Selon la jurisprudence, la qualité pour recourir d'un tiers qui n'est pas destinataire de la décision dont il est fait recours n'est admise que restrictivement. Les tiers ne sont en effet pas touchés par une décision de la même manière que son destinataire formel et matériel, dans la mesure où elle ne leur octroie pas directement des droits ou ne leur impose pas des obligations (arrêt du Tribunal fédéral 1C_426/2024 du 16 janvier 2025 consid. 2.1). Pour avoir qualité pour recourir, le tiers doit ainsi être touché directement et plus fortement que tout autre tiers et se trouver, avec l'objet de la contestation, dans une relation particulière, étroite et digne d'être prise en considération (ATF 146 I 172 consid. 7.1.2 ; 139 II 279 consid. 2.2). Une atteinte indirecte ou médiate ne suffit pas (ATF 138 V 292 consid. 4 ; 130 V 514 consid. 3.1). Le tiers doit en outre avoir un intérêt pratique à l'annulation ou à la modification de la décision qu'il attaque, en ce sens que l'issue de la procédure doit pouvoir influencer sa situation de manière significative (ATF 146 I 172 consid. 7.1.2 ; 139 II 279 consid. 2.2 ; arrêt du Tribunal fédéral 1C_585/2024 du 30 juin 2025 consid. 2.2).</w:t>
      </w:r>
    </w:p>
    <w:p>
      <w:r>
        <w:rPr>
          <w:b/>
        </w:rPr>
        <w:t>E. 1.5</w:t>
      </w:r>
    </w:p>
    <w:p>
      <w:r>
        <w:t>Un intérêt digne de protection suppose également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w:t>
      </w:r>
    </w:p>
    <w:p>
      <w:r>
        <w:t>- 7/9 - A/4176/2023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 135 I 79).</w:t>
      </w:r>
    </w:p>
    <w:p>
      <w:r>
        <w:rPr>
          <w:b/>
        </w:rPr>
        <w:t>E. 1.6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ATA/799/2025 du 22 juillet 2025 consid. 3.1 et l'arrêt cité).</w:t>
      </w:r>
    </w:p>
    <w:p>
      <w:r>
        <w:rPr>
          <w:b/>
        </w:rPr>
        <w:t>E. 1.7</w:t>
      </w:r>
    </w:p>
    <w:p>
      <w:r>
        <w:t>En l'espèce, la recourante demande l'annulation du jugement du TAPI ainsi que l'annulation des décisions rendues par le DT le 3 novembre 2023. L'ordre de remise en état prononcé à son encontre ce jour-là fait toutefois l'objet de la procédure A/4105/2023. Il est donc exorbitant à l'objet du litige. La recourante n'a pas demandé l'annulation de la décision du 16 octobre 2023, que B______ avait attaquée devant le TAPI. Cette décision ne fait ainsi en toute hypothèse plus partie du litige. Reste ainsi litigeuse la décision du 3 novembre 2023 par laquelle le DT a interdit à B______ d’exploiter les locaux concernés avec effet immédiat, jusqu’au rétablissement d’une situation conforme au droit, et lui a infligé une amende de CHF 1'000.-. Le TAPI a confirmé cette décision et B______ n'a pas recouru contre le jugement de celui-ci. La recourante n'est pas destinataire de ladite décision. Ainsi, pour avoir qualité pour recourir, elle doit être touchée directement et plus fortement que tout autre tiers et se trouver, avec l'objet de la contestation, dans une relation particulière, étroite et digne d'être prise en considération (ATF 146 I 172 consid. 7.1.2 ; 139 II 279 consid. 2.2). Elle doit en outre avoir un intérêt pratique à l'annulation ou à la modification de la décision qu'elle attaque, en ce sens que l'issue de la procédure doit pouvoir influencer sa situation de manière significative. Or, ces conditions ne sont pas remplies. Seule B______ est touchée directement par l'amende qui lui a été infligée, ce qui n'est pas contesté, et par l'interdiction d'occuper les locaux puisqu'elle en était, au jour du prononcé de la décision, la seule locataire. La recourante ne l'est ainsi qu'indirectement et n'est dans tous les cas pas touchée par ladite décision plus que B______, qui a d'ailleurs renoncé à recourir contre le jugement du TAPI la confirmant. Par ailleurs, le fait que l'intéressée se trouve, selon elle, restreinte dans sa liberté de choisir son locataire en fonction de son domaine d'exploitation ne suffit manifestement pas à fonder un intérêt pratique</w:t>
      </w:r>
    </w:p>
    <w:p>
      <w:r>
        <w:t>- 8/9 - A/4176/2023 au recours, cette restriction résultant déjà de la loi, en l'occurrence du règlement sur les zones industrielles et d’activités mixtes du 24 mai 2023 (RZIAM - L 1 45.01), et la décision litigieuse n'y changeant rien. En outre et en toute hypothèse, elle ne dispose plus d'aucun intérêt pratique à l'annulation de la décision, faute d'intérêt actuel. En effet, il ressort des déterminations de B______, non contestées, que celle-ci a quitté les locaux le 31 mai 2025, la recourante ayant résilié le contrat de bail. Par conséquent, la décision a, par la force des choses, été exécutée, si bien qu'une annulation n'entre plus en considération. Pour le surplus, la présente cause ne correspond pas aux situations exceptionnelles dans lesquelles il doit être renoncé à l'exigence d'un intérêt actuel. Par conséquent, faute pour la recourante d'être touchée plus que B______ par la décision litigieuse et d'avoir un intérêt actuel à son annulation, elle ne dispose pas de la qualité pour recourir. Le recours sera donc déclaré irrecevable. Il n'est ainsi pas nécessaire d'examiner la recevabilité de la conclusion subsidiaire et constatatoire prise par la recourante.</w:t>
      </w:r>
    </w:p>
    <w:p>
      <w:r>
        <w:rPr>
          <w:b/>
        </w:rPr>
        <w:t>E. 2</w:t>
      </w:r>
    </w:p>
    <w:p>
      <w:r>
        <w:t>Vu l'issue du litige, un émolument de CHF 900.- sera mis à la charge de la recourante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