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ATA/921/2024 vom 6. August 2024</w:t>
      </w:r>
    </w:p>
    <w:p>
      <w:r>
        <w:t>GE Cour de justice, 2024-08-06, FR</w:t>
      </w:r>
    </w:p>
    <w:p>
      <w:r>
        <w:rPr>
          <w:b/>
        </w:rPr>
        <w:t xml:space="preserve">Quelle: </w:t>
      </w:r>
      <w:r>
        <w:t>https://mcp.opencaselaw.ch/entscheid/ge_gerichte_ATA_921_2024</w:t>
      </w:r>
    </w:p>
    <w:p>
      <w:r>
        <w:t>FR: GE_GERICHTE ATA/921/2024 du 6 août 2024</w:t>
      </w:r>
    </w:p>
    <w:p>
      <w:r>
        <w:t>IT: GE_GERICHTE ATA/921/2024 del 6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- 7/11 - A/596/2024 art. 62 al. 1 let. a de la loi sur la procédure administrative du 12 septembre 1985 - LPA - E 5 10).</w:t>
      </w:r>
    </w:p>
    <w:p>
      <w:r>
        <w:rPr>
          <w:b/>
        </w:rPr>
        <w:t>E. 2</w:t>
      </w:r>
    </w:p>
    <w:p>
      <w:r>
        <w:t>Le recours a pour objet le refus de l’OCPM d’entrer en matière sur la demande de reconsidération formée par la recourante.</w:t>
      </w:r>
    </w:p>
    <w:p>
      <w:r>
        <w:rPr>
          <w:b/>
        </w:rPr>
        <w:t>E. 2.1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(ATA/512/2024 du 23 avril 2024 consid 3.2 ; ATA/651/2023 précité consid. 4.1 in fine).</w:t>
      </w:r>
    </w:p>
    <w:p>
      <w:r>
        <w:rPr>
          <w:b/>
        </w:rPr>
        <w:t>E. 2.2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2e éd., 2018, n. 1417).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ATA/512/2024 précité consid. 3.3).</w:t>
      </w:r>
    </w:p>
    <w:p>
      <w:r>
        <w:t>- 8/11 - A/596/2024</w:t>
      </w:r>
    </w:p>
    <w:p>
      <w:r>
        <w:rPr>
          <w:b/>
        </w:rPr>
        <w:t>E. 2.3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2.4</w:t>
      </w:r>
    </w:p>
    <w:p>
      <w:r>
        <w:t>En l'espèce, il convient uniquement d’examiner si les conditions d’une reconsidération sont réunies. Or, comme l’a constaté l’OCPM, tel n’est pas le cas. En effet, la maladie des parents de la recourante et les difficultés socio-économiques et sécuritaires en Équateur ont déjà été examinés dans la précédente procédure. La chambre de céans avait retenu à cet égard (consid. 4.2) que le retour de la recourante dans son pays d’origine la placerait dans la même situation que ses compatriotes, qui devaient faire face à l’insécurité qu’elle évoquait. Elle ne faisait valoir aucun élément rendant vraisemblable qu’à son retour en Équateur, elle serait concrètement exposée à un danger spécifique pour sa vie ou son intégrité physique ou psychique. Par ailleurs, s’il était vraisemblable que ses revenus soient moins élevés en Équateur que ceux qu’elle avait réalisés en Suisse, notamment depuis juin 2022, il n’apparaissait pas que ceux qu’elle pouvait espérer réaliser ne lui permettraient pas de subvenir à ses besoins ; elle ne le soutenait d’ailleurs pas. La difficulté – qu’il n’y avait pas lieu de minimiser – d’accéder à des soins médicaux de qualité, compte tenu des moyens financiers limités dont semblaient disposer ses parents, n’était pas de nature à rendre inexigible son renvoi. Cette difficulté, bien qu’elle puisse préoccuper la recourante, ne la concernait pas au premier chef, de sorte qu’elle ne constituait pas un motif s’opposant à son renvoi. Il ressort de ce qui précède que l’impact de la probable diminution des revenus de la recourante sur sa capacité financière à assumer les frais médicaux de ses parents avait déjà été pris en compte dans l’examen de la demande d’autorisation de séjour pour cas de rigueur. De même, la chambre de céans s’est penchée sur la situation politique et l’insécurité en Équateur dont avait fait état la recourante. Elle avait retenu que la recourante n’était pas concrètement exposée à un risque spécifique pour sa vie ou son intégrité physique en cas de retour en Équateur. La recourante n’apporte, sur ce point, aucun élément nouveau. Elle fait, de manière générale, référence à l’insécurité qui règne en Équateur – dont elle ne soutient à juste titre pas qu’elle constituerait un cas de guerre civile – mais n’apporte pas d’élément concret</w:t>
      </w:r>
    </w:p>
    <w:p>
      <w:r>
        <w:t>- 9/11 - A/596/2024 ni même n’allègue qu’elle serait personnellement visée par un risque concret pour sa vie ou son intégrité. Elle invoque un engagement politique de sa part, qui n’est cependant d’aucune manière étayé. Au vu de ce qui précède, l’OCPM n’a ni violé la loi ni commis un abus de son pouvoir d’appréciation en refusant d’entrer en matière sur la demande de reconsidération. Mal fondé, le recours sera rejeté. Le présent arrêt rend sans objet la requête d’effet suspensif.</w:t>
      </w:r>
    </w:p>
    <w:p>
      <w:r>
        <w:rPr>
          <w:b/>
        </w:rPr>
        <w:t>E. 3</w:t>
      </w:r>
    </w:p>
    <w:p>
      <w:r>
        <w:t>Vu l’issue du litige, un émolument de CHF 550.- sera mis à la charge de la recourante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