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ATA/921/2014 vom 25. November 2014</w:t>
      </w:r>
    </w:p>
    <w:p>
      <w:r>
        <w:t>GE Cour de justice, 2014-11-25, FR</w:t>
      </w:r>
    </w:p>
    <w:p>
      <w:r>
        <w:rPr>
          <w:b/>
        </w:rPr>
        <w:t xml:space="preserve">Quelle: </w:t>
      </w:r>
      <w:r>
        <w:t>https://mcp.opencaselaw.ch/entscheid/ge_gerichte_ATA_921_2014</w:t>
      </w:r>
    </w:p>
    <w:p>
      <w:r>
        <w:t>FR: GE_GERICHTE ATA/921/2014 du 25 novembre 2014</w:t>
      </w:r>
    </w:p>
    <w:p>
      <w:r>
        <w:t>IT: GE_GERICHTE ATA/921/2014 del 25 novembre 2014</w:t>
      </w:r>
    </w:p>
    <w:p>
      <w:pPr>
        <w:pStyle w:val="Heading2"/>
      </w:pPr>
      <w:r>
        <w:t>Regeste</w:t>
      </w:r>
    </w:p>
    <w:p>
      <w:r>
        <w:t>Résumé: La question est de savoir quelle méthode de calcul est applicable pour la taxe d'équipement, lorsqu'aucun équipement public ne doit être réalisé par la collectivité publique dans le périmètre du PLQ considéré, la zone sur laquelle le projet de construction est prévu ayant déjà été équipée par la commune. Même si le montant total des frais d'équipement public engendrés par la réalisation du PLQ est connu, puisque la commune de Vernier n'entend plus réaliser aucun équipement, cette dernière n'a pas adopté de crédit en vue du financement de travaux. Il y a donc bien lieu d'appliquer la méthode habituelle de calcul pour la taxe d'équipement, soit la méthode du calcul forfaitaire.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seule question litigieuse est celle de savoir quelle est la méthode de calcul applicable pour la taxe d'équipement, lorsque, comme en l'espèce, aucun équipement public ne devra être réalisé par la collectivité publique dans le périmètre du PLQ considéré, la zone sur laquelle le projet de construction est prévu ayant déjà été équipée par la commune.</w:t>
      </w:r>
    </w:p>
    <w:p>
      <w:r>
        <w:rPr>
          <w:b/>
        </w:rPr>
        <w:t>E. 3</w:t>
      </w:r>
    </w:p>
    <w:p>
      <w:r>
        <w:t>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w:t>
      </w:r>
    </w:p>
    <w:p>
      <w:r>
        <w:t>Les zones à bâtir sont équipées par la collectivité intéressée dans le délai prévu par le programme d'équipement, si nécessaire de manière échelonnée (art. 19 al. 2 1ère phrase LAT).</w:t>
      </w:r>
    </w:p>
    <w:p>
      <w:r>
        <w:t>Le droit cantonal règle la participation financière des propriétaires fonciers (art. 19 al. 2 2ème phrase LAT).</w:t>
      </w:r>
    </w:p>
    <w:p>
      <w:r>
        <w:t>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w:t>
      </w:r>
    </w:p>
    <w:p>
      <w:r>
        <w:t>- 7/12 - A/3511/2013 les frais qu'ils ont supportés (André JOMINI, in Commentaire de la loi fédérale sur l'aménagement du territoire, 1999, art. 19, n. 59 p. 14-15).</w:t>
      </w:r>
    </w:p>
    <w:p>
      <w:r>
        <w:rPr>
          <w:b/>
        </w:rPr>
        <w:t>E. 4</w:t>
      </w:r>
    </w:p>
    <w:p>
      <w:r>
        <w:t>Cette législation est largement complétée par le droit cantonal.</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LGZD).</w:t>
      </w:r>
    </w:p>
    <w:p>
      <w:r>
        <w:t>La délivrance d’autorisations de construire selon les normes d’une zone de développement est subordonnée, sous réserve des demandes portant sur des objets de peu d’importance ou provisoires, à l’approbation préalable par le Conseil d’État, notamment d’un PLQ au sens de l’article 3, assorti d’un règlement (art. 2 al. 1 let. a LGZD).</w:t>
      </w:r>
    </w:p>
    <w:p>
      <w:r>
        <w:t>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 18 septembre 1986 (LEn - L 2.30 ; art. 3 al. 1 LGZD).</w:t>
      </w:r>
    </w:p>
    <w:p>
      <w:r>
        <w:t>Ils prévoient aussi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w:t>
      </w:r>
    </w:p>
    <w:p>
      <w:r>
        <w:t>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w:t>
      </w:r>
    </w:p>
    <w:p>
      <w:r>
        <w:t>- 8/12 - A/3511/2013</w:t>
      </w:r>
    </w:p>
    <w:p>
      <w:r>
        <w:t>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w:t>
      </w:r>
    </w:p>
    <w:p>
      <w:r>
        <w:t>En règle générale, les prestations prévues à l’alinéa 1 lettres a et c LGZD, sont assurées par le paiement d’une taxe d’équipement calculée en fonction des frais d’équipement public du quartier considéré, de l’importance et de la destination des constructions et installations projetées (art. 4 al. 3 LGZD).</w:t>
      </w:r>
    </w:p>
    <w:p>
      <w:r>
        <w:rPr>
          <w:b/>
        </w:rPr>
        <w:t>E. 5</w:t>
      </w:r>
    </w:p>
    <w:p>
      <w:r>
        <w:t>Par frais d'équipement public, il faut entendre le coût de réalisation ou de modification des voies de communication publiques prévues par le programme d’équipement tel que défini à l’article 3 alinéa 2 lettre a de la loi, y compris leurs canalisations (art. 9 al. 1 RGZD).</w:t>
      </w:r>
    </w:p>
    <w:p>
      <w:r>
        <w:t>Le PLQ ainsi que le règlement de quartier doivent contenir les indications précises à propos des équipements qui devront être assumés par la collectivité et ceux assumés par les propriétaires (art. 9 al. 2 RGZD).</w:t>
      </w:r>
    </w:p>
    <w:p>
      <w:r>
        <w:t>Le débiteur de la taxe d'équipement au sens de l'article 4 de la loi est le propriétaire ou le superficiaire du terrain sur lequel doit être érigé le projet qui fait l'objet d'une autorisation définitive de construire (art. 10 al. 1 RGZD).</w:t>
      </w:r>
    </w:p>
    <w:p>
      <w:r>
        <w:rPr>
          <w:b/>
        </w:rPr>
        <w:t>E. 6</w:t>
      </w:r>
    </w:p>
    <w:p>
      <w:r>
        <w:t>La taxe d'équipement est due par chaque propriétaire ou superficiaire à raison de l'importance des surfaces brutes de plancher assignées à sa parcelle, selon l’autorisation de construire considérée (art. 11 al. 1 RGZD).</w:t>
      </w:r>
    </w:p>
    <w:p>
      <w:r>
        <w:t>La taxe d'équipement se monte en principe à CHF 40.- le m2 de surface brute de plancher à créer, sous réserve des alinéas 3, 4 et 5 (art. 11 al. 2 RGZD).</w:t>
      </w:r>
    </w:p>
    <w:p>
      <w:r>
        <w:t>Le montant de CHF 40.- le m2 de surface brute de plancher à créer, visé à l'alinéa 2, est adapté à l'indice suisse des prix de la construction applicable à la région lémanique à compter du 1er janvier 2004, lors de chaque écart égal ou supérieur de 5 % (art. 11 al. 5 RGZD).</w:t>
      </w:r>
    </w:p>
    <w:p>
      <w:r>
        <w:t>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w:t>
      </w:r>
    </w:p>
    <w:p>
      <w:r>
        <w:t>- 9/12 - A/3511/2013</w:t>
      </w:r>
    </w:p>
    <w:p>
      <w:r>
        <w:t>En l'espèce, bien que le montant total des frais d'équipement public nécessités par la réalisation du PLQ considéré soit connu, dans la mesure où la commune de Vernier n'entend plus réaliser aucun équipement, il n'est pas contesté que cette dernière n'a pas adopté de crédit en vue du financement de travaux. Dans la mesure où il s'agit de conditions cumulatives, l'art. 11 al. 3 RGZD est inapplicable.</w:t>
      </w:r>
    </w:p>
    <w:p>
      <w:r>
        <w:t>Il en découle qu'il y a bien lieu d'appliquer l'art. 11 al. 2 RGZD, disposition prévoyant la méthode de calcul forfaitaire, méthode habituelle de calcul pour la taxe d'équipement.</w:t>
      </w:r>
    </w:p>
    <w:p>
      <w:r>
        <w:rPr>
          <w:b/>
        </w:rPr>
        <w:t>E. 7</w:t>
      </w:r>
    </w:p>
    <w:p>
      <w:r>
        <w:t>Comme le relève à juste titre le DALE,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w:t>
      </w:r>
    </w:p>
    <w:p>
      <w:r>
        <w:rPr>
          <w:b/>
        </w:rPr>
        <w:t>E. 8</w:t>
      </w:r>
    </w:p>
    <w:p>
      <w:r>
        <w:t>Le montant de CHF 10'000'000.- consacré à son équipement, dont la commune de Vernier dispose sur un compte auprès de l'État, ne peut servir qu'à payer la part des frais d'équipement public revenant à la commune de Vernier, et, en aucun cas, à diminuer celle revenant aux propriétaires fonciers.</w:t>
      </w:r>
    </w:p>
    <w:p>
      <w:r>
        <w:rPr>
          <w:b/>
        </w:rPr>
        <w:t>E. 9</w:t>
      </w:r>
    </w:p>
    <w:p>
      <w:r>
        <w:t>Parmi les diverses contributions publiques, la jurisprudence et la doctrine distinguent généralement les impôts des contributions causales (arrêt du Tribunal fédéral 2C_226/2012 du 10 juin 2013 consid. 4.1 et les références citées).</w:t>
      </w:r>
    </w:p>
    <w:p>
      <w:r>
        <w:t>Les impôts représentent la participation des contribuables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w:t>
      </w:r>
    </w:p>
    <w:p>
      <w:r>
        <w:t>- 10/12 - A/3511/2013 engendrés par la subdivision concernée de l'administration (ATF 135 I 130 consid. 2 et les références citées).</w:t>
      </w:r>
    </w:p>
    <w:p>
      <w:r>
        <w:t>La taxe d'équipement perçue auprès des propriétaires riverains bénéficiant principalement des équipements en cause est un exemple typique de charge de préférence (Thierry TANQUEREL, Manuel de droit administratif, 2011, n. 243), et donc une contribution causale.</w:t>
      </w:r>
    </w:p>
    <w:p>
      <w:r>
        <w:rPr>
          <w:b/>
        </w:rPr>
        <w:t>E. 10</w:t>
      </w:r>
    </w:p>
    <w:p>
      <w:r>
        <w:t>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(ATF 122 I 61 consid. 3b et les références citées ; arrêt du Tribunal fédéral 2P.402/1996 du 29 mai 1997).</w:t>
      </w:r>
    </w:p>
    <w:p>
      <w:r>
        <w:t>Il en découle que la prétendue illégalité de l'art. 11 al. 2 RGZD alléguée par la société n'est pas fondée.</w:t>
      </w:r>
    </w:p>
    <w:p>
      <w:r>
        <w:rPr>
          <w:b/>
        </w:rPr>
        <w:t>E. 11</w:t>
      </w:r>
    </w:p>
    <w:p>
      <w:r>
        <w:t>Partant, la facture du DALE du 1er octobre 2013 adressée à la société, liée à l'autorisation de construire, d'un montant de CHF 567'644.10 relative à la taxe d'équipement public est totalement conforme à la loi, notamment au regard de l'art. 11 al. 2 RGZD.</w:t>
      </w:r>
    </w:p>
    <w:p>
      <w:r>
        <w:rPr>
          <w:b/>
        </w:rPr>
        <w:t>E. 12</w:t>
      </w:r>
    </w:p>
    <w:p>
      <w:r>
        <w:t>Se pose enfin la question de la bonne foi de la société.</w:t>
      </w:r>
    </w:p>
    <w:p>
      <w:r>
        <w:t>Le 19 avril 2013, la société a signé pour accord le formulaire intitulé « Conditions d’application des normes de la zone de développement » établi par l’office de l’urbanisme, indiquant que la taxe d’équipement public était arrêtée à CHF 567'644.12, avant de recourir ensuite auprès du TAPI contre cette facture.</w:t>
      </w:r>
    </w:p>
    <w:p>
      <w:r>
        <w:t>Les organes de l’État et les particuliers doivent agir de manière conforme aux règles de la bonne foi (art. 5 al. 3 de la Constitution fédérale de la Confédération suisse du 18 avril 1999 - Cst. - RS 101).</w:t>
      </w:r>
    </w:p>
    <w:p>
      <w:r>
        <w:t>En signant le formulaire uniquement pour obtenir l'autorisation sollicitée, puis en recourant contre la facture, la société a manifestement violé le principe de la bonne foi. En effet, dès la signature dudit document, le DALE était en droit de considérer le montant de la facture comme accepté.</w:t>
      </w:r>
    </w:p>
    <w:p>
      <w:r>
        <w:rPr>
          <w:b/>
        </w:rPr>
        <w:t>E. 13</w:t>
      </w:r>
    </w:p>
    <w:p>
      <w:r>
        <w:t>Au vu de ce qui précède, le recours sera admis et la facture du département rétablie. Vu l’issue du litige, un émolument de CHF 2'000.- sera mis à la charge de la société, qui succombe (art. 87 al. 1 LPA) et aucune indemnité de procédure ne sera allouée (art. 87 al. 2 LPA).</w:t>
      </w:r>
    </w:p>
    <w:p>
      <w:r>
        <w:t>- 11/12 - A/3511/2013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