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ATA/91/2021 vom 26. Januar 2021</w:t>
      </w:r>
    </w:p>
    <w:p>
      <w:r>
        <w:t>GE Cour de justice, 2021-01-26, FR</w:t>
      </w:r>
    </w:p>
    <w:p>
      <w:r>
        <w:rPr>
          <w:b/>
        </w:rPr>
        <w:t xml:space="preserve">Quelle: </w:t>
      </w:r>
      <w:r>
        <w:t>https://mcp.opencaselaw.ch/entscheid/ge_gerichte_ATA_91_2021</w:t>
      </w:r>
    </w:p>
    <w:p>
      <w:r>
        <w:t>FR: GE_GERICHTE ATA/91/2021 du 26 janvier 2021</w:t>
      </w:r>
    </w:p>
    <w:p>
      <w:r>
        <w:t>IT: GE_GERICHTE ATA/91/2021 del 26 gennaio 2021</w:t>
      </w:r>
    </w:p>
    <w:p>
      <w:pPr>
        <w:pStyle w:val="Heading2"/>
      </w:pPr>
      <w:r>
        <w:t>Erwägungen</w:t>
      </w:r>
    </w:p>
    <w:p>
      <w:r>
        <w:rPr>
          <w:b/>
        </w:rPr>
        <w:t>E. 12</w:t>
      </w:r>
    </w:p>
    <w:p>
      <w:r>
        <w:t>septembre 1985 - LPA - E 5 10). 2)</w:t>
      </w:r>
    </w:p>
    <w:p>
      <w:r>
        <w:t>La recourante invoque une violation de l’art. 30 al. 1 de la Constitution fédérale de la Confédération suisse du 18 avril 1999 (Cst. - RS 101), le TAPI ayant modifié sa composition au cours de la procédure.</w:t>
      </w:r>
    </w:p>
    <w:p>
      <w:r>
        <w:t>a. Selon l'art. 30 al. 1 Cst., toute personne dont la cause doit être jugée dans une procédure judiciaire a droit à ce qu'elle soit portée devant un tribunal établi par la loi, compétent, indépendant et impartial.</w:t>
      </w:r>
    </w:p>
    <w:p>
      <w:r>
        <w:t>- 13/21 - A/3521/2017</w:t>
      </w:r>
    </w:p>
    <w:p>
      <w:r>
        <w:t>b. Selon la jurisprudence, le droit des parties à une composition régulière du tribunal impose des exigences minimales en procédure cantonale; il interdit les tribunaux d'exception et la mise en œuvre de juges ad hoc ou ad personam et exige dès lors, en vue d'empêcher toute manipulation et afin de garantir l'indépendance nécessaire, une organisation judiciaire et une procédure déterminées par un texte légal (ATF 129 V 335 consid. 1.3.1 p. 338 et les arrêts cités). C'est en premier lieu à la lumière des règles cantonales topiques d'organisation et de procédure qu'il convient d'examiner si une autorité judiciaire a statué dans une composition conforme à la loi (ATF 131 I 31 consid. 2.1.2.1 p. 34).</w:t>
      </w:r>
    </w:p>
    <w:p>
      <w:r>
        <w:t>L'art. 30 Cst. n'exige pas que l'autorité judiciaire appelée à statuer soit composée des mêmes personnes tout au long de la procédure, notamment pour l'audition des témoins et pour le jugement (ATF 117 Ia 133 consid. 1e p. 135 ; arrêt du Tribunal fédéral 9C_731/2007 du 20 août 2008 consid. 2.2.3). La modification de la composition de l'autorité judiciaire en cours de procédure ne constitue donc pas en tant que telle une violation de l'art. 30 Cst. (ATF 96 I 321 consid. 2a p. 323 ; arrêt du Tribunal fédéral 4A_325/2007 du 15 novembre 2007 consid. 2.3). Elle s'impose nécessairement lorsqu'un juge doit être remplacé par un autre ensuite de départ à la retraite, d'élection dans un autre tribunal, de décès ou en cas d'incapacité de travail de longue durée (arrêt du Tribunal fédréal 4A_325/2007 précité). Il serait en revanche inadmissible de remplacer sans raison un juge après que des mesures d'instruction importantes ont été mises en œuvre, telle en matière pénale l'audience principale garantissant l'oralité des débats pénaux (arrêts du Tribunal fédéral 9C_393/2007 du 8 mai 2008 consid. 3.4.2 et 6P.102/2005 du 26 juin 2006 consid. 3 et 4).</w:t>
      </w:r>
    </w:p>
    <w:p>
      <w:r>
        <w:t>c. Pour les litiges en matière de constructions, le TAPI siège dans la composition d’un juge, qui le préside, et de deux juges assesseurs spécialisés en matière de construction, d’urbanisme et d’hygiène publique (art. 143 LCI). Le TAPI est doté de cinq postes de juge titulaire ainsi que de juges assesseurs dont le nombre est fixé par la commission de gestion du pouvoir judiciaire (art. 114 al. 1 et 3 LOJ).</w:t>
      </w:r>
    </w:p>
    <w:p>
      <w:r>
        <w:t>La composition du TAPI est consultable en tout temps sur le site internet du pouvoir judiciaire. Le nom des assesseurs siégeant dans les différentes compositions requises par la loi y est également précisé.</w:t>
      </w:r>
    </w:p>
    <w:p>
      <w:r>
        <w:t>Conformément à la jurisprudence citée, l’obligation pour le TAPI de remplacer un assesseur par un autre, au cours d’une procédure ayant duré près de trois ans, après le renvoi de celle-ci par la chambre administrative pour nouveau jugement, ne viole pas le droit de la recourante à connaître la composition du tribunal et celle-ci n’invoque d’ailleurs pas que cette composition n’est pas conforme au droit. En outre, la recourante n’a fait valoir aucun motif de récusation à l’encontre de l’un ou l’autre des juges.</w:t>
      </w:r>
    </w:p>
    <w:p>
      <w:r>
        <w:t>- 14/21 - A/3521/2017 3)</w:t>
      </w:r>
    </w:p>
    <w:p>
      <w:r>
        <w:t>La recourante sollicite plusieurs actes d’instruction.</w:t>
      </w:r>
    </w:p>
    <w:p>
      <w:r>
        <w:t>Tel qu’il est garanti par l’art. 29 al. 2 Cst.,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 arrêts du Tribunal fédéral 1B_539/2019 du 19 mars 2020 consid. 3.1 ; 2C_203/2019 du 4 juillet 2019 consid. 2.1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arrêts du Tribunal fédéral 2C_41/2020 du 24 juin 2020 consid. 5.1.1). Le droit d'être entendu ne contient pas non plus d’obligation de discuter tous les griefs et moyens de preuve du recourant ; il suffit que le juge discute ceux qui sont pertinents pour l'issue du litige (ATF 141 III 28 consid. 3.2.4 ; arrêt du Tribunal fédéral 9C_245/2020 du 12 juin 2020 consid. 3.2.1).</w:t>
      </w:r>
    </w:p>
    <w:p>
      <w:r>
        <w:t>En l’espèce, la demande de production de documents portant sur le concours organisé par la ville pour choisir un projet de construction – faite par la recourante sans autre justificatif que de connaître le total des montants investis – est hors de propos, la manière dont la ville a choisi le projet à soumettre à une demande d’autorisation de construire n’étant pas litigieuse en l’espèce.</w:t>
      </w:r>
    </w:p>
    <w:p>
      <w:r>
        <w:t>La recourante demande qu’un transport sur place soit effectué dans le contexte de l’application des art. 89 et ss LCI au bâtiment à démolir. En raison de ce qui suit, cet acte d’instruction ne s’avère pas nécessaire. Il en va de même des auditions demandées, portant toutes sur cette question. En outre, l’aspect visuel du bâtiment et de ceux l’environnant ressort clairement des photos versées au dossier.</w:t>
      </w:r>
    </w:p>
    <w:p>
      <w:r>
        <w:t>Pour le surplus, de nombreuses pièces ont été produites, et le dossier est complet et en état d’être jugé. À l’instar du TAPI, la chambre administrative considère qu'elle dispose d'un dossier lui permettant de trancher en toute connaissance de cause la présente affaire, compte tenu de ce qui suit. Il ne sera ainsi pas donné suite aux demandes d’actes d’instruction formulées devant la chambre de céans.</w:t>
      </w:r>
    </w:p>
    <w:p>
      <w:r>
        <w:t>Le grief de violation du droit d’être entendu devant le TAPI, et par voie de conséquence de mauvais établissement des faits, est infondé, les premiers juges étant habilités à considérer, au vu du présent dossier, que leur opinion ne serait pas modifiée par l’issue des actes d’instruction sollicités.</w:t>
      </w:r>
    </w:p>
    <w:p>
      <w:r>
        <w:t>- 15/21 - A/3521/2017 4)</w:t>
      </w:r>
    </w:p>
    <w:p>
      <w:r>
        <w:t>La recourante allègue un comportement abusif et déloyal de la requérante, sans toutefois préciser quel serait l’impact de ce comportement sur les décisions prises par le département ou sur le jugement du TAPI qui font l’objet du recours, indiquant uniquement que ce comportement mettrait à mal la confiance du public dans l’intégrité de l’administration de la ville.</w:t>
      </w:r>
    </w:p>
    <w:p>
      <w:r>
        <w:t>Sans lien avec le présent litige, le grief sera donc écarté sans examen supplémentaire. 5)</w:t>
      </w:r>
    </w:p>
    <w:p>
      <w:r>
        <w:t>Les griefs de violations de l’art. 4 al. 1 LCUA et de l’obligation de récusation de M. MATHEZ, invoqués en lien avec la consultation de la CA ainsi que la violation des art. 89 et ss LCI seront examinés conjointement car ils concernent tous la protection patrimoniale que la recourante voudrait voir s’appliquer au bâtiment à démolir.</w:t>
      </w:r>
    </w:p>
    <w:p>
      <w:r>
        <w:t>a. À teneur de l'art. 89 al. 1 LCI, l'unité architecturale et urbanistique des ensembles du XIXème siècle et du début du XXème siècle situés en dehors des périmètres de protection de la Vieille-Ville et du secteur sud des anciennes fortifications (let. a) et du Vieux Carouge (let. b), doit être préservée. Selon l'al. 2 de cette disposition, sont considérés comme un ensemble les groupes de deux immeubles ou plus en ordre contigu, d'architecture identique ou analogue, ainsi que les immeubles séparés dont l'emplacement, le gabarit et le style ont été conçus dans le cadre d'une composition d'ensemble dans le quartier ou dans la rue.</w:t>
      </w:r>
    </w:p>
    <w:p>
      <w:r>
        <w:t>Les ensembles dont l'unité architecturale et urbanistique est complète sont maintenus. En cas de rénovation ou de transformation, les structures porteuses, de même que les autres éléments particulièrement dignes de protection doivent, en règle générale, être sauvegardés (art. 90 al. 1 LCI).</w:t>
      </w:r>
    </w:p>
    <w:p>
      <w:r>
        <w:t>b. Les mesures de classement ou de mise à l’inventaire restent à disposition du Conseil d’État, le cas échéant, pour les immeubles isolés (MCG 1983/II p. 2206, travaux préparatoires des art. 89 et ss LCI aussi appelés loi Blondel). Les mesures de protection prévues par la LPMNS sont générales et applicables notamment aux immeubles dignes d’intérêt situés dans tout le canton (art. 1 et 4 LPMNS).</w:t>
      </w:r>
    </w:p>
    <w:p>
      <w:r>
        <w:t>c. Les demandes d'autorisation, à l'exception de celles instruites en procédure accélérée, concernant des immeubles visés à l'art. 89 LCI sont soumises, pour préavis à la CMNS (art. 93 al. 1 LCI). La CMNS donne également son préavis sur tous projets de travaux concernant un immeuble porté à l'inventaire (art. 5 al. 2 let. c du règlement d'exécution de la loi sur la protection des monuments, de la nature et des sites du 29 novembre 1976 - RPMNS - L 4 05.01) et elle est chargée de formuler ou d'examiner les propositions d'inscription ou de radiation d'immeubles à l'inventaire (art. 7 LPMNS et 5 al. 2 let. b RPMNS).</w:t>
      </w:r>
    </w:p>
    <w:p>
      <w:r>
        <w:t>- 16/21 - A/3521/2017</w:t>
      </w:r>
    </w:p>
    <w:p>
      <w:r>
        <w:t>Du fait de ces différentes compétences, la CMNS peut donc être consultée à différents titres par le département.</w:t>
      </w:r>
    </w:p>
    <w:p>
      <w:r>
        <w:t>d. La protection conférée par les art. 89 ss LCI est une mesure de protection du patrimoine. En tant que telle elle n'est pas absolue, elle doit être conforme au principe de proportionnalité et implique une pesée des intérêts public et privé en présence (ATA/720/2012 du 30 octobre 2012 consid 5b ; ATA/162/1998 du 24 mars 1998 consid. 7 et 8). 6)</w:t>
      </w:r>
    </w:p>
    <w:p>
      <w:r>
        <w:t>En l’espèce, la chambre de céans a déjà retenu dans son arrêt du 13 août 2019 (ATA/1247/2019 consid. 6) qu’il appartenait au département de trancher la question de la soumission ou non du bâtiment à la protection des art. 89 ss LCI, ce qu’il avait fait en délivrant les autorisations. Le TAPI a confirmé ce point dans le jugement litigieux. La recourante estime toutefois que la protection de la loi Blondel, voulue par la CMNS, aurait dû être appliquée au bâtiment.</w:t>
      </w:r>
    </w:p>
    <w:p>
      <w:r>
        <w:t>Le SMS a initialement demandé un dossier photographique du bâtiment dans son contexte bâti, en vue d’un préavis dans le cadre de l’art. 4 LPMNS, soit d’une éventuelle mesure de protection générale du bâtiment par une mise à l’inventaire, ce qui est également confirmé par le courriel du 18 novembre 2015 de son directeur, lequel se réfère également à cette mesure de protection.</w:t>
      </w:r>
    </w:p>
    <w:p>
      <w:r>
        <w:t>Il ressort également des pièces figurant au dossier que le bâtiment concerné par les autorisations est le seul à n’avoir subi ni démolition ni transformation profonde parmi les six bâtiments mitoyens sis le long de la rue des Vollandes et construits selon une composition d’ensemble à la fin du XIXème siècle. Il est ainsi le dernier élément persistant d’un état urbanistique antérieur. Le bâtiment litigieux qui était à l’origine le plus élevé des six et constituait l’angle d’un îlot, est désormais d’un gabarit inférieur aux autres immeubles et a ainsi perdu sa valeur de définition visuelle d’angle urbain de l’îlot. Il ne permet pas à lui seul de lire l’état antérieur de l’ensemble, comme l’a retenu l’architecte cantonal dans sa note du 29 août 2016.</w:t>
      </w:r>
    </w:p>
    <w:p>
      <w:r>
        <w:t>La SCA considère, quant à elle, dans son préavis défavorable du 21 juin 2016, que le bâtiment appartient à un ensemble protégé, mais constate que la majorité des six bâtiments a subi des transformations parfois importantes au cours du temps. Le bâtiment concerné était en revanche dans un bon état de préservation, n’ayant pas subi de rénovation lourde et se présentait dans un état proche de celui d’origine. Entendu en audience devant le TAPI, l’ancien président de cette sous-commission a déclaré que celle-ci ignorait qu’à tout le moins un des immeubles dont elle avait considéré qu’il faisait partie du même ensemble avait fait l’objet d’une démolition et d’une reconstruction, soit le no 58 adjacent au bâtiment sis 8, rue des Cordiers, ce qui ne ressortait pas non plus du rapport de M. PYTHON, lequel mentionnait uniquement dans son rapport que le bâtiment avait été entièrement rénové (témoin JUCKER entendu le 27 mars 2018).</w:t>
      </w:r>
    </w:p>
    <w:p>
      <w:r>
        <w:t>- 17/21 - A/3521/2017</w:t>
      </w:r>
    </w:p>
    <w:p>
      <w:r>
        <w:t>Le département a finalement considéré que, comme dans d’autres cas similaires dont par exemple l’immeuble voisin du 6, rue des Cordiers, propriété de la recourante, le bâtiment avait certes été conçu dans le cadre d’un composition d’ensemble, mais étant aujourd’hui isolé, il ne pouvait plus être traité comme élément d’un ensemble protégé au sens de la LCI (préavis du SMS du 31 août 2009 DD 103’070-2).</w:t>
      </w:r>
    </w:p>
    <w:p>
      <w:r>
        <w:t>En conséquence, compte tenu des éléments établis, dont notamment le fait que le préavis de la SCA a été donné sur la base d’un état de fait incorrect, s’agissant d’un point déterminant et du caractère consultatif des préavis découlant de l’art. 3 al. 3 LCI qui ne lient pas le département, ce dernier a considéré à juste titre que le bâtiment concerné ne pouvait bénéficier de la protection instaurée par les art. 89 et ss LCI, en raison de l’état actuel des autres bâtiments qui formaient l’ensemble à l’origine et surtout de la démolition du bâtiment adjacent ainsi que d’un autre des six bâtiments. En effet, c’est bien l’existence actuelle d’un ensemble et son état qui doit être pris en compte, dans le cas d’espèce, pour déterminer si la protection de la loi Blondel trouve application et non l’état du seul bâtiment faisant l’objet de la demande d’autorisation.</w:t>
      </w:r>
    </w:p>
    <w:p>
      <w:r>
        <w:t>Partant, le grief concernant la violation alléguée des art. 89 et ss LCI doit être écarté. 7)</w:t>
      </w:r>
    </w:p>
    <w:p>
      <w:r>
        <w:t>Quant aux griefs liés à la consultation de la CA, au rôle de M. MATHEZ en qualité d’employé de l’OAC et de consultant LCI dans le concours organisé par la ville, ils tombent à faux. En effet, la décision du département de ne pas soumettre le bâtiment à la protection de la loi Blondel, comme vu ci-dessus, n’est justifiée ni par le préavis de la CA, ni par le concours organisé par la ville pour choisir un projet de construction. Il n’y a donc pas lieu d’examiner plus en détail les griefs de la recourante qui sont sans lien avec la question litigieuse. 8)</w:t>
      </w:r>
    </w:p>
    <w:p>
      <w:r>
        <w:t>La recourante invoque une violation des gabarits.</w:t>
      </w:r>
    </w:p>
    <w:p>
      <w:r>
        <w:t>Telle que son argumentation peut être comprise, elle n’indique pas en quoi la construction ne respecte pas les gabarits légaux, mais uniquement que les plans produits manquent de la précision exigée par la jurisprudence. Dans sa réplique, elle souligne à ce sujet que la ville avait produit des croquis dans ses observations en y ajoutant des couleurs et des « formes géométriques » pour appuyer ses explications, ce qui démontrait que les plans produits manquaient de la précision exigée.</w:t>
      </w:r>
    </w:p>
    <w:p>
      <w:r>
        <w:t>Elle indique aussi que c’est à tort que le département et le TAPI ont retenu que le bâtiment dont elle était propriétaire possédait un « mur en attente ». Or, il ressort des plans et des photos produites que la façade nord de son immeuble, construit en limite de parcelle est borgne et constitue à l’évidence un « mur en attente » tel qu’autorisable par l’art. 231 du règlement d’application de la loi sur</w:t>
      </w:r>
    </w:p>
    <w:p>
      <w:r>
        <w:t>- 18/21 - A/3521/2017 les constructions et les installations diverses du 27 février 1978 (RCI - L 5 05.01) s’agissant des constructions pouvant être érigées en limite de deux propriétés (art. 24 al. 1 LCI). C’est donc à tort que la recourante invoque la jurisprudence de la chambre de céans concernant le projet de construction, dans des circonstances très particulières, d’un mur borgne qui n’avait pas été qualifié de « mur en attente » au sens de l’art. 231 RCI (ATA/874/2018 du 28 août 2018 consid. 6). En effet, à l’inverse de la situation présente, un mur borgne devait être construit alors qu’ici, la construction permettra de le faire disparaître.</w:t>
      </w:r>
    </w:p>
    <w:p>
      <w:r>
        <w:t>Elle mentionne encore qu’un puit de lumière existerait sur la galette du 58, rue des Vollandes dont personne n’avait vérifié s’il avait été autorisé « uniquement du fait qu’il existait ce jour entre les immeubles des parties ». Si ceci devait être le cas, le département « ne pouvait pas de ce seul fait délivrer les autorisations querellées, car celles-ci violeraient ainsi celle déjà délivrée ».</w:t>
      </w:r>
    </w:p>
    <w:p>
      <w:r>
        <w:t>Le TAPI dans son jugement a examiné de façon détaillée et complète les dispositions applicables à ces questions et la conformité du projet à celles-ci. En conséquence, en l’absence de griefs substantiels à l’égard du jugement du TAPI, la chambre de céans fera siens les considérants 39 à 44, développés par le TAPI dans son jugement détaillé et exhaustif, auxquels il convient de se référer pour le surplus. 9)</w:t>
      </w:r>
    </w:p>
    <w:p>
      <w:r>
        <w:t>La recourante se plaint d’une violation de la garantie de la propriété, la construction prévue empiétant sur sa parcelle par la construction de renforcements en sous-œuvre ainsi que sous l’autre immeuble mitoyen.</w:t>
      </w:r>
    </w:p>
    <w:p>
      <w:r>
        <w:t>Comme l’a exposé la ville de façon claire dans ses observations, la reprise en sous-œuvre est une mesure constructive permettant d’assurer la stabilité des bâtiments mitoyens lorsque la construction d’un sous-sol descend plus bas que les fondations contiguës, qui aurait remplacé dans la pratique les mesures prévues notamment à l’art. 121 de la loi d'application du code civil suisse et d'autres lois fédérales en matière civile du 11 octobre 2012 (LaCC - E 1 05).</w:t>
      </w:r>
    </w:p>
    <w:p>
      <w:r>
        <w:t>Quoiqu’il en soit, la recourante n’indique pas quel intérêt elle aurait à s’opposer à cette reprise en sous-œuvre, ni d’ailleurs le tiers propriétaire de l’autre bâtiment concerné, puisque l’augmentation de la stabilité de son bâtiment constitue de fait une plus-value.</w:t>
      </w:r>
    </w:p>
    <w:p>
      <w:r>
        <w:t>En outre et surtout, s’agissant d’une question de droit privé, l’autorisation de construire réserve expressément les droits des tiers (art. 3 al. 6 LCI) et elle n’est pas de la compétence de la chambre de céans. 10) La recourante reproche au projet une violation des art. 11 LPE et 39 OPB concernant le système de pompe à chaleur qui serait installé sur la toiture de l’immeuble à construire et les immissions sonores qu’il produirait dans</w:t>
      </w:r>
    </w:p>
    <w:p>
      <w:r>
        <w:t>- 19/21 - A/3521/2017 l’appartement projeté à cet étage. Le préavis du SABRA n’avait pas pris en compte l’existence d’un velux dans le hall d’entrée de l’appartement, les mesures ayant été calculées par rapport à une porte fenêtre plus éloignée.</w:t>
      </w:r>
    </w:p>
    <w:p>
      <w:r>
        <w:t>Comme l’a relevé le département, le velux serait principalement ouvert pendant la période où le système de chauffage ne fonctionne pas et tout problème de bruit constaté pourrait être réglé grâce aux mesures in concreto prises par le SABRA après la construction sur la base des art. 18 et ss du règlement sur la protection contre le bruit et les vibrations du 12 février 2003 (RPBV - K 1 70.10) allant de l’expertise à l’assainissement de l’installation ou par le remplacement du velux par une ouverture fixe.</w:t>
      </w:r>
    </w:p>
    <w:p>
      <w:r>
        <w:t>Toutefois, un recourant voisin doit invoquer des dispositions de droit des constructions susceptibles d'avoir une incidence sur sa situation de fait ou de droit (ATF 133 II 249 consid. 1.3.1 ; arrêt du Tribunal fédéral 1C_2/2010 du 23 mars 2010 consid. 4). Le Tribunal fédéral considère en effet que le recourant n'est pas libre d'invoquer n'importe quel grief. Il ne peut en effet se prévaloir d'un intérêt digne de protection à invoquer des dispositions édictées dans l'intérêt général ou dans l'intérêt de tiers que si elles peuvent avoir une influence sur sa situation de fait ou de droit (ATF 137 II 30 consid. 2.2.3 ; 133 II 249 consid. 1.3.2 9). Un recours dont le seul but est de garantir l'application correcte du droit demeure en effet irrecevable, parce qu'assimilable à une action populaire (arrêt du Tribunal fédéral 1C_320/2010 du 9 février 2011 consid. 2.3 et les références citées).</w:t>
      </w:r>
    </w:p>
    <w:p>
      <w:r>
        <w:t>La recourante invoque ici uniquement l’intérêt des futurs locataires de la ville, mais aucun intérêt personnel. Le fonctionnement ou non de la pompe à chaleur ne modifie en rien sa situation, tout comme la présence ou l’absence du velux. La modification de l’autorisation de construire sur ces points ne serait donc pas susceptible d’influencer sa situation. Ces griefs sont irrecevables. 11) La recourante invoque finalement une violation de l’art. 14 al. 1 let. a LCI. Le bâtiment projeté créerait une perte d’ensoleillement pour les habitant du 58, rue des Vollandes ainsi que pour la petite cour située entre ceux-ci et son bâtiment sis 6, rue des Cordiers, assombrissant notamment les bureaux situés dans l’arcade commerciale du 58, rue des Vollandes.</w:t>
      </w:r>
    </w:p>
    <w:p>
      <w:r>
        <w:t>Ce grief tombe à faux. En effet, l’arcade commerciale a pour affectation « arrière-magasin » selon le plan d’exécution de la DD 76'707, enregistré le 8 mai 1984 par le département et d’autre part, vu son orientation, situé à l’ouest/ sud-ouest de la cour, c’est le bâtiment de la recourante qui porte déjà de l’ombre sur la totalité de la cour alors que le bâtiment à construire sera lui situé au nord/nord-ouest, comme l’attestent les photos produites par la ville.</w:t>
      </w:r>
    </w:p>
    <w:p>
      <w:r>
        <w:t>- 20/21 - A/3521/2017</w:t>
      </w:r>
    </w:p>
    <w:p>
      <w:r>
        <w:t>Finalement, la recourante n’apporte aucun élément qui prouverait une quelconque perte d’ensoleillement et, de surcroît, ne fait valoir aucun intérêt personnel lié ce grief.</w:t>
      </w:r>
    </w:p>
    <w:p>
      <w:r>
        <w:t>Le grief, en tant qu’il est recevable, sera être écarté. 12) a. En tous points infondé, le recours sera rejeté.</w:t>
      </w:r>
    </w:p>
    <w:p>
      <w:r>
        <w:t>b. Vu l’issue du litige, un émolument de CHF 2'000.- sera mis à la charge de la recourante (art. 87 al. 1 LPA). Il ne sera pas alloué d’indemnité de procédure, la ville n’y ayant pas conclu et disposant de son propre service juridique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