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ATA/91/2011 vom 1. Oktober 2008</w:t>
      </w:r>
    </w:p>
    <w:p>
      <w:r>
        <w:t>GE Cour de justice, 2008-10-01, FR</w:t>
      </w:r>
    </w:p>
    <w:p>
      <w:r>
        <w:rPr>
          <w:b/>
        </w:rPr>
        <w:t xml:space="preserve">Quelle: </w:t>
      </w:r>
      <w:r>
        <w:t>https://mcp.opencaselaw.ch/entscheid/ge_gerichte_ATA_91_2011</w:t>
      </w:r>
    </w:p>
    <w:p>
      <w:r>
        <w:t>FR: GE_GERICHTE ATA/91/2011 du 1 octobre 2008</w:t>
      </w:r>
    </w:p>
    <w:p>
      <w:r>
        <w:t>IT: GE_GERICHTE ATA/91/2011 del 1 ottobre 2008</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le 3 février 2011 contre le jugement du TAPI, prononcé et notifié le 24 janvier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3</w:t>
      </w:r>
    </w:p>
    <w:p>
      <w:r>
        <w:t>Selon l’art. 10 al. 2 LaLEtr, la chambre administrative doit statuer dans les dix jours qui suivent sa saisine. En prononçant le présent arrêt ce jour, elle respecte ce délai.</w:t>
      </w:r>
    </w:p>
    <w:p>
      <w:r>
        <w:rPr>
          <w:b/>
        </w:rPr>
        <w:t>E. 4</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5</w:t>
      </w:r>
    </w:p>
    <w:p>
      <w:r>
        <w:t>L’objet du recours est uniquement la détention administrative du recourant, ce dernier ayant déclaré être décidé à respecter l’interdiction de périmètre.</w:t>
      </w:r>
    </w:p>
    <w:p>
      <w:r>
        <w:rPr>
          <w:b/>
        </w:rPr>
        <w:t>E. 6</w:t>
      </w:r>
    </w:p>
    <w:p>
      <w:r>
        <w:t>Selon la jurisprudence constante de la chambre de céans, rappelée dans un arrêt du 31 janvier 2011 (ATA/49/2011),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- 7/9 - A/145/2011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w:t>
      </w:r>
    </w:p>
    <w:p>
      <w:r>
        <w:rPr>
          <w:b/>
        </w:rPr>
        <w:t>E. 7</w:t>
      </w:r>
    </w:p>
    <w:p>
      <w:r>
        <w:t>En l’espèce, depuis son arrivée en Suisse, le recourant a fait l’objet de multiples condamnations, non contestées, dont l’une pour vol, soit un crime au sens de l’art. 76 al. 1 let. b ch. 1 LEtr en relation avec l’art. 75 al. 1 let. h LEtr. De ce fait, son maintien en détention est fondé au regard des dispositions légales précitées.</w:t>
      </w:r>
    </w:p>
    <w:p>
      <w:r>
        <w:t>De même, M. G______ a fait usage de plusieurs alias, il n’a pas de papiers d’identité et il est sans domicile fixe. Il a déposé trois demandes d’asile qui toutes ont été rejetées. Refoulé en avril 2010, il est revenu en Suisse quelques mois plus tard.</w:t>
      </w:r>
    </w:p>
    <w:p>
      <w:r>
        <w:t>Le recourant fait l’objet d’une décision de renvoi exécutoire depuis le 5 janvier 2011.</w:t>
      </w:r>
    </w:p>
    <w:p>
      <w:r>
        <w:t>Enfin, le 31 janvier 2011 il a refusé d’embarquer à destination de l’Italie de sorte que les conditions d’application de l’art. 76 al. 1 let. b ch. 3 et 4 LEtr sont réalisées.</w:t>
      </w:r>
    </w:p>
    <w:p>
      <w:r>
        <w:rPr>
          <w:b/>
        </w:rPr>
        <w:t>E. 8</w:t>
      </w:r>
    </w:p>
    <w:p>
      <w:r>
        <w:t>Les autorités ont fait preuve de toute la diligence requise pour renvoyer le recourant et la durée de la détention de ce dernier ne résulte que de son refus d’embarquer à bord d’un avion à destination de l’Italie. Enfin, toute autre mesure moins incisive, telle qu’une assignation à résidence ou une assignation territoriale, alors que l’intéressé n’a pas de domicile fixe, ne permettrait pas d’assurer sa présence le jour où le vol spécial sera prévu, de sorte que la détention administrative est la seule nécessaire et adéquate pour permettre d’atteindre ce but.</w:t>
      </w:r>
    </w:p>
    <w:p>
      <w:r>
        <w:t>- 8/9 - A/145/2011</w:t>
      </w:r>
    </w:p>
    <w:p>
      <w:r>
        <w:t>En confirmant pour un mois la durée de la détention administrative du recourant, le TAPI a pris une mesure conforme au principe de la proportionnalité et qui s’avère d’ores et déjà suffisante vu la réservation faite à SwissRepat sur un vol devant intervenir mi-février 2011.</w:t>
      </w:r>
    </w:p>
    <w:p>
      <w:r>
        <w:rPr>
          <w:b/>
        </w:rPr>
        <w:t>E. 9</w:t>
      </w:r>
    </w:p>
    <w:p>
      <w:r>
        <w:t>Au vu de ce qui précède, le recours sera rejeté. Aucun émolument ne sera perçu, la procédure étant gratuite (art. 12 du règlement sur les frais, émoluments et indemnités en procédure administrative du 30 juillet 1986 - RFPA - E 5 10.03), le recourant plaidant de surcroît au bénéfice de l’assistance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