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ATA/918/2014 vom 25. November 2014</w:t>
      </w:r>
    </w:p>
    <w:p>
      <w:r>
        <w:t>GE Cour de justice, 2014-11-25, FR</w:t>
      </w:r>
    </w:p>
    <w:p>
      <w:r>
        <w:rPr>
          <w:b/>
        </w:rPr>
        <w:t xml:space="preserve">Quelle: </w:t>
      </w:r>
      <w:r>
        <w:t>https://mcp.opencaselaw.ch/entscheid/ge_gerichte_ATA_918_2014</w:t>
      </w:r>
    </w:p>
    <w:p>
      <w:r>
        <w:t>FR: GE_GERICHTE ATA/918/2014 du 25 novembre 2014</w:t>
      </w:r>
    </w:p>
    <w:p>
      <w:r>
        <w:t>IT: GE_GERICHTE ATA/918/2014 del 25 novembre 2014</w:t>
      </w:r>
    </w:p>
    <w:p>
      <w:pPr>
        <w:pStyle w:val="Heading2"/>
      </w:pPr>
      <w:r>
        <w:t>Regeste</w:t>
      </w:r>
    </w:p>
    <w:p>
      <w:r>
        <w:t>Résumé: Révocation d'une décision d'engagement irrégulière dès l'origine. Situation non conforme au droit ayant sa source dans des déclarations incomplètes ou inexactes de la personne engagée. L'inaptitude à exercer la fonction préexistait à l'engagement compte tenu du caractère chronique d'une atteinte à la santé non déclarée lors de l'engagement.</w:t>
      </w:r>
    </w:p>
    <w:p>
      <w:pPr>
        <w:pStyle w:val="Heading2"/>
      </w:pPr>
      <w:r>
        <w:t>Erwägungen</w:t>
      </w:r>
    </w:p>
    <w:p>
      <w:r>
        <w:rPr>
          <w:b/>
        </w:rPr>
        <w:t>E. 29</w:t>
      </w:r>
    </w:p>
    <w:p>
      <w:r>
        <w:t>avril 2014 ; ATA/721/2013 du 29 octobre 2013 ; Pierre MOOR/Etienne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2C_9/2014 du 9 janvier 2014 ; 8C_745/2011 du 6 juin 2012 consid. 1.2 ; 8C_696/2011 du 2 mai 2012 consid. 5.1 ; 8C_194/2011 du 8 février 2012 consid. 2.2 ; ATA/297/2014 précité ; ATA/121/2014 du 25 février 2014 ; ATA/439/2013 du 30 juillet 2013) ; s’il</w:t>
      </w:r>
    </w:p>
    <w:p>
      <w:r>
        <w:t>- 11/18 - A/1677/2012 s’éteint pendant la procédure, le recours, devenu sans objet, doit être simplement radié du rôle (ATF 137 I 23 consid. 1.3.1 p. 24 ; 125 V 373 consid. 1 p. 374 ; arrêts du Tribunal fédéral 2C_1199/2013 du 16 avril 2014 ; 8C_745/2011 du 6 juin 2012 consid. 1.2 ; 8C_194/2011 du 8 février 2012 consid. 2.2 ).</w:t>
      </w:r>
    </w:p>
    <w:p>
      <w:r>
        <w:t>La recourante a pris des conclusions en paiement de prestation dès le 2 mai 2012. Elle conteste la validité de la décision d’invalidation de ses rapports d’emploi dès cette date. L’intérêt de la recourante à voir trancher les conséquences, notamment pécuniaires concernant la période du 2 mai 2012 jusqu’à la date de sa reprise d’emploi, subsiste. Il convient donc de considérer que son intérêt actuel au recours perdure à la date du jugement.</w:t>
      </w:r>
    </w:p>
    <w:p>
      <w:r>
        <w:t>b. Interjeté, en outre, en temps utile devant la juridiction compétente, le recours est recevable (art. 104 SPVG ; art. 132 de la loi sur l'organisation judiciaire du 26 septembre 2010 - LOJ - E 2 05 ; art. 62 al. 1 let. a LPA). 2)</w:t>
      </w:r>
    </w:p>
    <w:p>
      <w:r>
        <w:t>L’intimée sollicite la réouverture des enquêtes et l’audition d’un témoin.</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- 12/18 - A/1677/2012</w:t>
      </w:r>
    </w:p>
    <w:p>
      <w:r>
        <w:t>En l’espèce, l’audition d’un autre témoin est inutile pour compléter l’instruction menée, le dossier contenant les éléments permettant à la chambre de céans de trancher les questions juridiques à résoudre. Il ne sera dès lors pas donné suite à la requête de l’intimée. 3)</w:t>
      </w:r>
    </w:p>
    <w:p>
      <w:r>
        <w:t>Dans un grief d’ordre formel, la recourante invoque premièrement une violation de son droit d’être entendu et que certaines pièces, dont elle n’avait pas eu connaissance avant la prise de décision, soient écartées de la procédure.</w:t>
      </w:r>
    </w:p>
    <w:p>
      <w:r>
        <w:t>a. Tel qu’il est garanti par l’art. 29 al. 2 de la Cst.,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précité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w:t>
      </w:r>
    </w:p>
    <w:p>
      <w:r>
        <w:t>b. Une décision entreprise pour violation du droit d’être entendu n’est en principe pas nulle, mais annulable (arrêt du Tribunal fédéral 2P.207/2001 du 12 novembre 2001 consid. 5a ; ATA/195/2014 du 1er avril 2014 consid. 5 ; ATA/32/2010 du 11 mai 2010 ; Thierry TANQUEREL, op. cit., n. 916 p. 312).</w:t>
      </w:r>
    </w:p>
    <w:p>
      <w:r>
        <w:t>La réparation d’un vice de procédure en instance de recours et, notamment, du droit d’être entendu, est possible lorsque l’autorité dispose du même pouvoir d’examen que l’autorité inférieure (ATA/735/2013 du 5 novembre 2013 ; Pierre MOOR/Etienne POLTIER, Droit administratif, vol. 2, 3ème éd., 2011, n. 2.2.7.3</w:t>
      </w:r>
    </w:p>
    <w:p>
      <w:r>
        <w:t>- 13/18 - A/1677/2012 p. 324).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précité). La violation du droit d’être entendu doit en principe entraîner l’annulation de la décision attaquée, indépendamment des chances du recourant sur le fond (ATF 133 III 235 consid. 5.3 p. 250 ; arrêts du Tribunal fédéral 8C.104/2010 du 29 septembre 2010 consid. 3.2 ; 4A.15/2010 du 15 mars 2010 consid. 3.2 ; ATA/862/2010 du 7 décembre 2010 consid. 2 et arrêts cités). Cette violation est toutefois réparable devant l’instance du recours si celle- 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8C.104/2010 du 29 septembre 2010 consid. 3.2 ; 5A.150/2010 du 20 mai 2010 consid. 4.3 ; 1C.104/2010 du 29 avril 2010 consid. 2 ; ATA/435/2010 du 22 juin 2010 consid. 2 ; ATA/205/2010 du 23 mars 2010 consid. 5).</w:t>
      </w:r>
    </w:p>
    <w:p>
      <w:r>
        <w:t>En l’espèce, avant que la décision ne soit prise par la ville, la recourante a été contactée par son supérieur pour fixer un entretien. La recourante a renoncé à se présenter à tout entretien, invoquant son arrêt maladie. Elle s’est en revanche rendue à la visite médicale fixée suite à l’échange qu’elle avait eu avec sa hiérarchie concernant son état de santé.</w:t>
      </w:r>
    </w:p>
    <w:p>
      <w:r>
        <w:t>Il faut retenir que la recourante n’a pas eu l’occasion de s’exprimer avant que la ville ne statue, en violation de son droit d’être entendue.</w:t>
      </w:r>
    </w:p>
    <w:p>
      <w:r>
        <w:t>Néanmoins, compte tenu des circonstances du cas d’espèce, soit du fait qu’il ne s’agit pas ici d’une question d’opportunité mais qu’un fait objectif fonde la décision contestée, à savoir l’atteinte à la santé de la recourante existant au moment de son engagement, du fait que cette dernière s’est déterminée dans ses écritures, faisant valoir ses arguments, qu’elle a été entendue en audience et a participé à l’audition de témoins et a ainsi pu développer amplement ses arguments et se déterminer sur tous les éléments pertinents du dossier, un double échange d’écritures ayant été ordonné, il faut dès lors considérer que le vice de procédure a été réparé.</w:t>
      </w:r>
    </w:p>
    <w:p>
      <w:r>
        <w:t>S’agissant des communications internes déposées par la ville, elles seront écartées de la procédure. Ces documents ne portant pas sur la question de l’état de santé de la recourante, ils sont dépourvus de pertinence et donc sans effet sur le droit d’être entendu de la recourante.</w:t>
      </w:r>
    </w:p>
    <w:p>
      <w:r>
        <w:t>Au vu de ce qui précède, le grief de violation du droit d'être entendu sera écarté.</w:t>
      </w:r>
    </w:p>
    <w:p>
      <w:r>
        <w:t>- 14/18 - A/1677/2012 4)</w:t>
      </w:r>
    </w:p>
    <w:p>
      <w:r>
        <w:t>La décision dont est recours se présente comme une décision d’invalidation pour erreur essentielle de l’engagement de la recourante par la ville au poste de contrôleuse du domaine public.</w:t>
      </w:r>
    </w:p>
    <w:p>
      <w:r>
        <w:t>a. Les rapports de service entre la ville et son personnel sont régis par le SPVG (art. 1 SPVG), les dispositions d’exécution ainsi que, le cas échéant, les clauses du contrat de travail. En cas de lacune, les dispositions pertinentes du CO sont applicables à titre de droit public supplétif (art. 3 al. 2 SPVG).</w:t>
      </w:r>
    </w:p>
    <w:p>
      <w:r>
        <w:t>Le Conseil administratif exerce les fonctions d’employeur, notamment en ce qui concerne l’engagement et la résiliation des rapports de service (art. 4 al. 4 SPVG). Les rapports de service naissent lors de la nomination de l’employé par décision du Conseil administratif (art. 24 SPVG). Le Conseil administratif peut aussi engager du personnel par contrat de droit public, notamment des auxiliaires, des stagiaires et des apprentis (art. 28 SPVG).</w:t>
      </w:r>
    </w:p>
    <w:p>
      <w:r>
        <w:t>b.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(ATA/582/2011 du 13 septembre 2011 consid. 4b ; Pierre MOOR, Droit administratif, vol. 3, 2ème édition, 1992, ch. 5.1.2.1 et 5.1.3.1).</w:t>
      </w:r>
    </w:p>
    <w:p>
      <w:r>
        <w:t>In casu, l’engagement a été fait par décision de nomination du Conseil administratif, l’on ne se trouve donc pas dans le cas d’un contrat de droit public qui lierait la ville à la recourante mais dans celui, classique en droit de la fonction publique, d’un agent communal soumis au statut du fait de son acceptation de la décision de nomination. 5) a. Il convient de déterminer en premier lieu s’il existe une lacune dans le SPVG, s’agissant des vices pouvant affecter la décision d’engagement, auquel cas les dispositions idoines du CO seraient applicables. Il doit s’agir, cas échéant, d’une lacune proprement dite (Thierry TANQUEREL, Droit public et droit privé, les réformes de la fonction publique, 2012, p. 65).</w:t>
      </w:r>
    </w:p>
    <w:p>
      <w:r>
        <w:t>b.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w:t>
      </w:r>
    </w:p>
    <w:p>
      <w:r>
        <w:t>- 15/18 - A/1677/2012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w:t>
      </w:r>
    </w:p>
    <w:p>
      <w:r>
        <w:t>c. Aucune disposition du SPVG ne concerne spécifiquement les éventuels vices dont pourrait être entachée la décision de nomination. Néanmoins, le SPVG prévoit, s’agissant des décisions concernant les membres du personnel, que l’employeur statue par décision dans les cas où le statut le prévoit et, en outre, en cas de litige lié aux rapports de service, si aucun accord n’intervient (art. 96 al. 1 et 2 RPVG). La procédure de décision est en outre régie par la LPA, en particulier en ce qui concerne la notification et la motivation des décisions (art. 96 al. 1 SPVG).</w:t>
      </w:r>
    </w:p>
    <w:p>
      <w:r>
        <w:t>Dès lors que le conseil administratif agit par décisions en cas d’engagement et en cas de litige lié aux rapports de service, il n’est pas possible de conclure à la présence d’une lacune dans la réglementation qui rendrait nécessaire l’application de règles tirées du CO à titre supplétif. En cela, le cas d’espèce diffère notamment de celui examiné par le Tribunal fédéral dans lequel s’appliquait la loi fédérale sur le personnel de la Confédération du 24 mars 2000 (aLPers - RS 172.220.1), dans lequel un contrat d’engagement de droit public avait été annulé en raison d’un fait important caché par le postulant au moment de son engagement (ATF 132 II 161 résumé in RDAF 2007 p. 567).</w:t>
      </w:r>
    </w:p>
    <w:p>
      <w:r>
        <w:t>Une décision par laquelle une autorité administrative abroge une décision qu’elle a prise préalablement est définie comme une révocation. Une décision viciée dès l’origine peut être révoquée sans base légale (ATF 105 II 135 consid 4 ; Pierre MOOR/Etienne POLTIER, op. cit., p. 383 n. 2.4.3.1).</w:t>
      </w:r>
    </w:p>
    <w:p>
      <w:r>
        <w:t>En l’espèce, la décision entreprise constitue une révocation de la décision d’engagement, même si les termes utilisés par la ville ne correspondent pas. Il ne fait pas de doute qu’ayant été, du point de vue de cette dernière, trompée sur un élément essentiel de la décision d’engagement, à savoir l’état de santé de la recourante, la ville a voulu annuler dite décision, viciée initialement.</w:t>
      </w:r>
    </w:p>
    <w:p>
      <w:r>
        <w:t>Il convient dès lors de vérifier si la décision de révocation respecte les conditions posées en la matière par la jurisprudence. 6) a. Lorsqu'une décision initiale conférant des droits est entrée en force, l'autorité administrative ne peut la révoquer que si un intérêt public prépondérant prend le pas sur les intérêts privés du bénéficiaire et sur le principe de la sécurité du droit (ATF 105 II 135 ; 103 Ib 241 ; 100 Ib 94 ; 99 Ib 459 et 336 ; Pierre MOOR/Etienne POLTIER, op. cit., p. 387 ss n. 2.4.3.3 ss). L’irrégularité originaire d’une décision peut avoir sa cause dans une erreur de fait, sans laquelle elle n’aurait pas été prise. Les causes de l’erreur doivent être prises en compte</w:t>
      </w:r>
    </w:p>
    <w:p>
      <w:r>
        <w:t>- 16/18 - A/1677/2012 dans la balance des intérêts (Pierre MOOR/Etienne POLTIER, op. cit., p. 385 n. 2.4.3.2). Une décision prise en faveur d’un administré peut, en principe, conduire à sa révocation lorsque celui-ci est responsable de l’erreur ou la connaissait, mais non si l’administration connaissait d’emblée l’inexactitude des faits ou a violé son devoir d’instruction d’office (Thierry TANQUEREL, Manuel de droit administratif, 2011, p. 323).</w:t>
      </w:r>
    </w:p>
    <w:p>
      <w:r>
        <w:t>b. En outre, l’on se trouve dans un cas de révocabilité qualifiée lorsque la gravité de la situation non conforme au droit qui perdure a sa source dans des déclarations incomplètes ou inexactes de l’administré. Dans ce cas, ce dernier ne peut se prévaloir avec succès de la sécurité du droit à l’encontre de la légalité puisqu’il a lui-même contribué à ce que l’état de fait sur lequel se fonde la décision litigieuse ne soit pas conformée à la réalité (Jacques DUBEY/Jean- Baptiste ZUFFEREY, Droit administratif général, 2014, p. 356 ss).</w:t>
      </w:r>
    </w:p>
    <w:p>
      <w:r>
        <w:t>En l’espèce, il ressort des pièces figurant au dossier et des faits mis en évidence par les mesures d’instruction que dans la lettre de postulation qu’elle a faite parvenir à la ville, la recourante a affirmé jouir d’une excellente condition physique. Cette qualité était mentionnée dans l’offre d’emploi. Lors de l’entretien d’embauche, elle n’a pas fait état de problèmes de santé alors que cette question avait été abordée. La capacité de se soumettre à des horaires variables était également l’une des conditions essentielles de l’aptitude à remplir le poste. Or, la recourante a indiqué, moins de cinq mois après son entrée en fonction, être atteinte de douleurs dorsales et musculaires chroniques ainsi que de rhumatisme. Elle a informé son supérieur qu’elle souffrait d’arthrose. Elle a finalement été diagnostiquée comme atteinte d’un syndrome vertébral douloureux chronique et médicalement jugée inapte à exercer la fonction. À cet égard, il convient de souligner que bien que la recourante ait allégué ne pas avoir de douleurs dorsales le jour de l’examen médical effectué par le Dr D______, elle ne conteste pas non plus la chronicité des atteintes à sa santé, ni le fait d’avoir déjà subi des douleurs dorsales.</w:t>
      </w:r>
    </w:p>
    <w:p>
      <w:r>
        <w:t>Compte tenu du caractère chronique de l’atteinte, il faut donc retenir que l’inaptitude de la recourante à exercer la fonction préexistait à son engagement, même si elle ne se trouvait pas en état d’incapacité de travail à ce moment-là et que l’atteinte n’apparaît pas avoir entraîné une incapacité de travail chronique. En outre, en indiquant avoir une excellente condition physique lors de son engagement, la recourante a donné des informations inexactes, à tout le moins incomplètes, sur son état de santé, même si aucun diagnostic médical n’avait encore été posé.</w:t>
      </w:r>
    </w:p>
    <w:p>
      <w:r>
        <w:t>Il découle de ce qui précède qu’après avoir procédé à la pesée des intérêts en présence dont celui public à ce que la personne engagée ait les qualités personnelles et les aptitudes professionnelles nécessaires à l’exercice de la fonction (art. 25 al. 1 SPVG), la ville a révoqué la décision d’engagement de la</w:t>
      </w:r>
    </w:p>
    <w:p>
      <w:r>
        <w:t>- 17/18 - A/1677/2012 recourante de façon conforme au droit, dans les circonstances particulières du cas d’espèce. 7)</w:t>
      </w:r>
    </w:p>
    <w:p>
      <w:r>
        <w:t>Cela étant, les modalités prévues par le SPVG en matière de fin de rapports de service représentent, en principe, un ensemble cohérent de mécanismes suffisants pour appréhender les différents cas de figure pouvant se présenter après un engagement. Pendant la période d’essai notamment, l’administration dispose d’un très large pouvoir d’appréciation quant à l’opportunité de poursuivre ou non les rapports de service (ATA/259/2014 du 15 avril 2014). C’est pourquoi, la décision de révocation d’un engagement devrait rester tout à fait exceptionnelle et répond à des conditions strictes telles que développées ci-dessus. 8)</w:t>
      </w:r>
    </w:p>
    <w:p>
      <w:r>
        <w:t>Au vu de ce qui précède, le recours sera rejeté. 9)</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