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ATA/917/2022 vom 13. September 2022</w:t>
      </w:r>
    </w:p>
    <w:p>
      <w:r>
        <w:t>GE Cour de justice, 2022-09-13, FR</w:t>
      </w:r>
    </w:p>
    <w:p>
      <w:r>
        <w:rPr>
          <w:b/>
        </w:rPr>
        <w:t xml:space="preserve">Quelle: </w:t>
      </w:r>
      <w:r>
        <w:t>https://mcp.opencaselaw.ch/entscheid/ge_gerichte_ATA_917_2022</w:t>
      </w:r>
    </w:p>
    <w:p>
      <w:r>
        <w:t>FR: GE_GERICHTE ATA/917/2022 du 13 septembre 2022</w:t>
      </w:r>
    </w:p>
    <w:p>
      <w:r>
        <w:t>IT: GE_GERICHTE ATA/917/2022 del 13 settembre 2022</w:t>
      </w:r>
    </w:p>
    <w:p>
      <w:pPr>
        <w:pStyle w:val="Heading2"/>
      </w:pPr>
      <w:r>
        <w:t>Regeste</w:t>
      </w:r>
    </w:p>
    <w:p>
      <w:r>
        <w:t>Résumé: Confirmation de la jurisprudence du Tribunal fédéral selon laquelle l'attribution d'un élève à une autre classe dans la même école constitue un simple acte d'organisation interne non sujet à recours. Recours rejeté.</w:t>
      </w:r>
    </w:p>
    <w:p>
      <w:pPr>
        <w:pStyle w:val="Heading2"/>
      </w:pPr>
      <w:r>
        <w:t>Erwägungen</w:t>
      </w:r>
    </w:p>
    <w:p>
      <w:r>
        <w:rPr>
          <w:b/>
        </w:rPr>
        <w:t>E. 18</w:t>
      </w:r>
    </w:p>
    <w:p>
      <w:r>
        <w:t>avril 1999 (Cst. - RS 101), toute personne a droit à ce que sa cause soit jugée par une autorité judiciaire. La Confédération et les cantons peuvent, de par la loi, exclure l'accès au juge dans des cas exceptionnels. La norme constitutionnelle étend le contrôle judiciaire en principe à toutes les contestations juridiques. Il s'agit en particulier de contestations portant sur les droits et les obligations de personnes physiques ou morales (ATF 144 I 181 consid. 5.3.2.1 ; 143 I 344 consid. 8.2 et les arrêts cités). Ces droits et obligations ne découlent pas de la garantie de l'accès au juge elle-même, mais de ceux et celles que confère ou impose à l'intéressé un état de fait visé, notamment, par la Cst., la loi ou encore une ordonnance (ATF 136 I 323 consid. 4.3). L'art. 29a Cst. garantit l'accès à un juge disposant d'un pouvoir d'examen complet des faits et du droit (ATF 144 I 181 consid. 5.3.2.1 ; 137 I 235 consid. 2.5). Il ne s'oppose cependant pas aux conditions de recevabilité habituelles du recours ou de l'action (ATF 143 I 344 consid. 8.2 précité), et ne s'applique notamment pas aux actes internes de l'administration qui n'ont pas le caractère d'une décision (ATF 143 I 336 consid. 4.2 ; 136 I 323 précité consid. 4.4 ; arrêt du Tribunal fédéral 8D_9/2020 du 6 juillet 2021 consid. 5.2). 4) a. Aux termes de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Les décisions incidentes sont également considérées comme des décisions (art. 4 al. 2 LPA).</w:t>
      </w:r>
    </w:p>
    <w:p>
      <w:r>
        <w:t>b. Une décision tend à modifier une situation juridique préexistante. Il ne suffit pas que l’acte querellé ait des effets juridiques, encore faut-il que celui-ci vise des effets juridiques. Sa caractéristique en tant qu’acte juridique unilatéral tend à</w:t>
      </w:r>
    </w:p>
    <w:p>
      <w:r>
        <w:t>- 6/8 - A/2542/2022 modifier la situation juridique de l’administré par la volonté de l’autorité, mais sur la base de et conformément à la loi (ATA/1657/2019 du 12 novembre 2019 consid. 2c et les références citées).</w:t>
      </w:r>
    </w:p>
    <w:p>
      <w:r>
        <w:t>Pour qu’un acte administratif puisse être qualifié de décision, il doit revêtir un caractère obligatoire pour les administrés en créant ou constatant un rapport juridique concret de manière contraignante. Ce n’est pas la forme de l’acte qui est déterminante, mais son contenu et ses effets (ATA/1672/2019 du 12 novembre 2019 consid. 3b).</w:t>
      </w:r>
    </w:p>
    <w:p>
      <w:r>
        <w:t>Les décisions doivent en principe être désignées comme telles, motivées et signées, et indiquer les voies et délais de recours (art. 46 al. 1 LPA). Elles sont notifiées aux parties, le cas échéant à leur domicile élu auprès de leur mandataire, par écrit (art. 46 al. 2 1ère phr. LPA).</w:t>
      </w:r>
    </w:p>
    <w:p>
      <w:r>
        <w:t>c. La décision comme acte juridique a pour objet de régler la situation d’administrés en tant que sujets de droit et donc, à ce titre, distincts de la personne étatique ou, en d’autres termes, extérieurs à l’administration. On oppose dans ce contexte la décision à l’acte interne ou d’organisation, qui vise des situations à l’intérieur de l’administration ; l’acte interne peut avoir des effets juridiques, mais ce n’en est pas l’objet, et c’est pourquoi il n’est en règle générale pas susceptible de recours. Deux critères permettent généralement de déterminer si on a affaire à une décision ou à un acte interne. D’une part, l’acte interne n’a pas pour objet de régler la situation juridique d’un sujet de droit en tant que tel et, d’autre part, le destinataire en est l’administration elle-même, dans l’exercice de ses tâches (arrêt du Tribunal fédéral 8D_2/2018 du 21 février 2019 consid. 6.2). 5) a. Dans sa jurisprudence, le Tribunal fédéral a indiqué que l'attribution d'un élève à une autre classe dans la même école constituait un simple acte d'organisation interne, par opposition à l'attribution de l'élève à une classe d'une école située plus loin de son domicile et l'obligeant à effectuer deux kilomètres quotidiens de trajets supplémentaires (arrêt du Tribunal fédéral 2P.324/2001 du 28 mars 2002 consid. 3.4).</w:t>
      </w:r>
    </w:p>
    <w:p>
      <w:r>
        <w:t>b. La chambre de céans a été encore plus loin en considérant en 2019 que l'affectation d'un élève à un établissement post-obligatoire était une mesure d'organisation interne qui ne pouvait pas faire l'objet d'un recours. L'élève ne disposait pas d'un droit à être affecté à un établissement précis (ATA/1264/2019 du 21 août 2019 consid. 3). 6)</w:t>
      </w:r>
    </w:p>
    <w:p>
      <w:r>
        <w:t>En l'espèce, le fils du recourant a été attribué à l'école d'C______, ce qui n'est pas contesté, au degré 6P, ce qui ne l'est pas non plus, et enfin à la classe de double degré 5P/6P plutôt que de l'autre classe, elle aussi de double degré, 6P/7P. Il s'agit néanmoins là, conformément à la jurisprudence précitée du Tribunal</w:t>
      </w:r>
    </w:p>
    <w:p>
      <w:r>
        <w:t>- 7/8 - A/2542/2022 fédéral, d'un acte d'organisation interne non sujet à recours, ce que les développements du recourant ne sont pas propres à remettre en cause.</w:t>
      </w:r>
    </w:p>
    <w:p>
      <w:r>
        <w:t>La décision sur recours de la DGEO était ainsi conforme au droit, si bien que le recours sera rejeté.</w:t>
      </w:r>
    </w:p>
    <w:p>
      <w:r>
        <w:t>Le prononcé du présent arrêt rend en outre sans objet la demande de mesures superprovisionnelles et provisionnelles. 7)</w:t>
      </w:r>
    </w:p>
    <w:p>
      <w:r>
        <w:t>Vu l'issue du recours, un émolument de CHF 550.- sera mis à la charge de M. A______,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