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ATA/916/2018 vom 11. September 2018</w:t>
      </w:r>
    </w:p>
    <w:p>
      <w:r>
        <w:t>GE Cour de justice, 2018-09-11, FR</w:t>
      </w:r>
    </w:p>
    <w:p>
      <w:r>
        <w:rPr>
          <w:b/>
        </w:rPr>
        <w:t xml:space="preserve">Quelle: </w:t>
      </w:r>
      <w:r>
        <w:t>https://mcp.opencaselaw.ch/entscheid/ge_gerichte_ATA_916_2018</w:t>
      </w:r>
    </w:p>
    <w:p>
      <w:r>
        <w:t>FR: GE_GERICHTE ATA/916/2018 du 11 septembre 2018</w:t>
      </w:r>
    </w:p>
    <w:p>
      <w:r>
        <w:t>IT: GE_GERICHTE ATA/916/2018 del 11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135 LS).</w:t>
      </w:r>
    </w:p>
    <w:p>
      <w:r>
        <w:t>- 10/20 - A/2839/2017</w:t>
      </w:r>
    </w:p>
    <w:p>
      <w:r>
        <w:rPr>
          <w:b/>
        </w:rPr>
        <w:t>E. 2</w:t>
      </w:r>
    </w:p>
    <w:p>
      <w:r>
        <w:t>Le recourant se plaint de plusieurs violations de son droit d’être entendu par la commission et le département.</w:t>
      </w:r>
    </w:p>
    <w:p>
      <w:r>
        <w:t>a. Il conteste le refus du DES de lui soumettre le préavis de la commission à l’appui de son arrêté pour pouvoir en contester le contenu dans l’acte de recours.</w:t>
      </w:r>
    </w:p>
    <w:p>
      <w:r>
        <w:t>Selon les art. 7 al. 1 let. a et art. 19 de la loi genevoise sur la commission de surveillance des professions de la santé et des droits des patients du 7 avril 2006 (LComPS; K 3 03), la commission instruit l'affaire et exprime un préavis à l'intention du département. Ce préavis répond à la définition de l'acte interne à l'administration, destiné à faciliter la tâche de l'organe de décision, telle que définie. Même s'il fallait admettre, avec une partie de la doctrine, que si une pièce qualifiée d'acte interne est propre à déterminer l'évaluation d'un fait pertinent pour la décision à prendre, elle doit être accessible (Pierre MOOR/Etienne POLTIER, Droit administratif, vol. II, 3e éd. 2011, p. 327 s. et les auteurs cités), le grief de violation du droit d'être entendu devrait être rejeté si le recourant a pu, dans la procédure de recours, avoir accès au préavis de la commission et se prononcer sur les faits retenus et les reproches formulés dans ce préavis (arrêt du Tribunal fédéral 2C_66/2013 du 7 mai 2013 consid. 3.2).</w:t>
      </w:r>
    </w:p>
    <w:p>
      <w:r>
        <w:t>En l’espèce, le préavis figure au dossier transmis par l’autorité intimée dans le cadre de la présente procédure. Le recourant a pu se déterminer à son propos. Les termes du préavis sont par ailleurs repris dans l'arrêté du département du 29 mai 2017. Le recourant n'a donc subi aucun préjudice. Dans ces conditions, la violation du droit d'être entendu, à supposer qu'elle soit admise, devrait être considérée comme guérie.</w:t>
      </w:r>
    </w:p>
    <w:p>
      <w:r>
        <w:t>b. Le recourant se plaint du refus de la commission d’admettre des pièces nouvelles, à savoir une correspondance du Dr M______, les explications circonstanciées de M. D______ et sa détermination sur le courrier du Dr K______.</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w:t>
      </w:r>
    </w:p>
    <w:p>
      <w:r>
        <w:t>- 11/20 - A/2839/2017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w:t>
      </w:r>
    </w:p>
    <w:p>
      <w:r>
        <w:t>En l’espèce, la commission a transmis au recourant le rapport du Dr K______ le 11 juin 2015. Le recourant n’a pas réagi à cet envoi. Il n’a de même pas réagi à la suite de la correspondance du 22 décembre 2015 de la commission l’informant du retard pris dans le traitement du dossier et du fait que l’instruction était close. Il n’a en conséquence ni produit d’observations, ni sollicité de pouvoir en produire. Même le courrier du 4 mai 2017 du recourant au département ne contient pas de demande de pouvoir se déterminer sur le rapport. Il n’y a en conséquence pas eu de violation du droit d’être entendu en lien avec la production du rapport du Dr K______.</w:t>
      </w:r>
    </w:p>
    <w:p>
      <w:r>
        <w:t>Concernant la communication de pièces nouvelles, le département a, par courrier du 29 mai 2017, rappelé que l’instruction de la cause était close depuis le 15 octobre 2015, ce qui avait été indiqué à l’intéressé le 22 décembre 2015, sans qu’il réagisse. Il n’était en conséquence plus possible de déposer, à ce stade, des pièces nouvelles. Le droit d’être entendu du recourant n’a en conséquence pas été violé.</w:t>
      </w:r>
    </w:p>
    <w:p>
      <w:r>
        <w:t>Pour le surplus, l’intéressé a produit devant la chambre de céans les pièces qu’il souhaitait verser à la procédure, à savoir le rapport du Dr M______ du 25 novembre 2016 et la lettre de M. D______ du 25 novembre 2016. Il a par ailleurs pu se déterminer sur le rapport du Dr K______.</w:t>
      </w:r>
    </w:p>
    <w:p>
      <w:r>
        <w:t>Le grief est infondé.</w:t>
      </w:r>
    </w:p>
    <w:p>
      <w:r>
        <w:rPr>
          <w:b/>
        </w:rPr>
        <w:t>E. 3</w:t>
      </w:r>
    </w:p>
    <w:p>
      <w:r>
        <w:t>a. Dans son acte de recours, le recourant sollicite l’audition en qualité de témoins des Drs F______, M______, K______ et de M. D______ ainsi que sa comparution personnelle. Il a par la suite sollicité en sus l’audition du Pr N______ ainsi que la projection des vidéos lors de son audition et de celle des témoins.</w:t>
      </w:r>
    </w:p>
    <w:p>
      <w:r>
        <w:t>Interpellé sur d’éventuelles enquêtes, le département a proposé l’audition de M. D______, Mme H______ et du Dr K______.</w:t>
      </w:r>
    </w:p>
    <w:p>
      <w:r>
        <w:t>Mme B______ s’est opposée à l’audition de témoins, les faits pertinents étant établis.</w:t>
      </w:r>
    </w:p>
    <w:p>
      <w:r>
        <w:t>b. Le droit d’être entendu ne comprend pas le droit d’être entendu oralement (ATF 134 I 140 consid. 5.3 ; arrêt du Tribunal fédéral 1C_551/2015 du 22 mars 2016 consid. 2.2), ni celui d’obtenir l’audition de témoins (ATF 130 II 425 consid. 2.1).</w:t>
      </w:r>
    </w:p>
    <w:p>
      <w:r>
        <w:t>- 12/20 - A/2839/2017</w:t>
      </w:r>
    </w:p>
    <w:p>
      <w:r>
        <w:t>c. En l’espèce, le litige porte exclusivement sur la conformité au droit de l’arrêté du DES du 29 mai 2017 relatif au retrait de l’autorisation de pratiquer de l’intéressé pour une durée de trois mois.</w:t>
      </w:r>
    </w:p>
    <w:p>
      <w:r>
        <w:t>Toutes les personnes dont l’audition est sollicitée ont eu l’occasion de se prononcer par écrit dans la présente procédure. Le recourant a pu se déterminer par écrit de manière circonstanciée tant dans son acte de recours auprès de la chambre de céans que dans sa réplique, sur l’entier des pièces produites. Le recourant ne conteste pas sa faute, mais uniquement la proportionnalité de la sanction. Les faits pertinents ressortent du dossier et sont établis. Savoir sur quels faits précisément le consentement, avant l’opération, a porté est litigieux, mais non pertinent compte tenu de ce qui suit. La chambre administrative – tout comme l’autorité intimée avant elle – dispose d’un dossier complet lui permettant de trancher les griefs soulevés en toute connaissance de cause. Il ne sera en conséquence pas donné suite aux demandes d’instruction du recourant devant la chambre administrative.</w:t>
      </w:r>
    </w:p>
    <w:p>
      <w:r>
        <w:rPr>
          <w:b/>
        </w:rPr>
        <w:t>E. 4</w:t>
      </w:r>
    </w:p>
    <w:p>
      <w:r>
        <w:t>Le recourant invoque une violation de l’art. 36 Cst.</w:t>
      </w:r>
    </w:p>
    <w:p>
      <w:r>
        <w:t>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telle celle de médecin (ATF 134 I 214 consid. 3 ; arrêts du Tribunal fédéral 2C_523/2014 du 18 mars 2015 consid. 6.1; 2C_66/2013 du</w:t>
      </w:r>
    </w:p>
    <w:p>
      <w:r>
        <w:rPr>
          <w:b/>
        </w:rPr>
        <w:t>E. 7</w:t>
      </w:r>
    </w:p>
    <w:p>
      <w:r>
        <w:t>mai 2013 consid. 3.2.2). Compte tenu toutefois du fait que la commission est composée de spécialistes, mieux à même d’apprécier les questions d’ordre technique, la chambre de céans s’impose une certaine retenue (ATA/8/2018 précité et les références mentionnées).</w:t>
      </w:r>
    </w:p>
    <w:p>
      <w:r>
        <w:rPr>
          <w:b/>
        </w:rPr>
        <w:t>E. 8</w:t>
      </w:r>
    </w:p>
    <w:p>
      <w:r>
        <w:t>a. En l’espèce, il ressort du dossier que le recourant, titulaire d’un titre postgrade fédéral de spécialiste en neurochirurgie, a pratiqué sur Mme B______, le 14 juin 2012, dans les locaux de la clinique C______, une opération de type « Cloward C5-C6 pour discopathie et hernie discale », considérée comme un acte chirurgical, ayant pour ce faire eu recours, dans un premier temps, à une cage cervicale de type Roi C, puis MC +.</w:t>
      </w:r>
    </w:p>
    <w:p>
      <w:r>
        <w:t>b. En procédant à la pose d’une cage cervicale, de type Roi C, sans que la butée de sécurité n’ait été intégrée au porte-implant, ladite cage a reculé, compressant la moelle épinière de la patiente et causant à la patiente une paraplégie.</w:t>
      </w:r>
    </w:p>
    <w:p>
      <w:r>
        <w:t>Il n’est ni contestable, ni contesté que ce comportement est constitutif d’une faute au sens de l’art. 40 LPMed, le recourant mentionnant dans ses écritures qu’il « n’a jamais contesté et ne conteste pas avoir commis une faute qui a eu de très lourdes conséquences pour sa patiente ».</w:t>
      </w:r>
    </w:p>
    <w:p>
      <w:r>
        <w:t>La victime peut être suivie lorsqu’elle la détaille, en disant que plusieurs décisions du recourant ont atteint ses droits, notamment :</w:t>
      </w:r>
    </w:p>
    <w:p>
      <w:r>
        <w:t>- la pose d’une cage d’un nouveau type (Roi C) que le recourant n’avait posée que deux fois, en présence du représentant de la marque, et pour laquelle il n’avait pas suffisamment d’expérience ;</w:t>
      </w:r>
    </w:p>
    <w:p>
      <w:r>
        <w:t>- la pose de ladite cage même après avoir constaté l’absence du technicien représentant du produit dont lui-même avait requis la présence et qu’il estimait en conséquence nécessaire ;</w:t>
      </w:r>
    </w:p>
    <w:p>
      <w:r>
        <w:t>- la pose de ladite cage alors que ni le médecin assistant ni l’instrumentiste ne connaissaient ladite cage, ce que le recourant savait ;</w:t>
      </w:r>
    </w:p>
    <w:p>
      <w:r>
        <w:t>- l’absence de vérification que la cage était correctement montée au moment où elle lui fut présentée.</w:t>
      </w:r>
    </w:p>
    <w:p>
      <w:r>
        <w:t>Ces décisions appartenaient au seul recourant, seul de surcroît à effectuer des gestes chirurgicaux.</w:t>
      </w:r>
    </w:p>
    <w:p>
      <w:r>
        <w:t>Elle peut aussi être suivie lorsqu’elle relève l’absence de son consentement à ces actes. Celle-ci n’aurait en aucun cas pu consentir à la pose du modèle Roi C,</w:t>
      </w:r>
    </w:p>
    <w:p>
      <w:r>
        <w:t>- 16/20 - A/2839/2017 en l’absence du représentant de la marque, modèle que l’instrumentiste indique ne pas connaître, alors même qu’une cage MC+ était disponible, cage que le chirurgien connaissait parfaitement et pour laquelle le représentant était présent.</w:t>
      </w:r>
    </w:p>
    <w:p>
      <w:r>
        <w:t>L’existence de plusieurs fautes du recourant est établie, sans qu’il soit en l’état nécessaire d’approfondir les gestes techniques effectués, notamment lors de la mise des lamelles.</w:t>
      </w:r>
    </w:p>
    <w:p>
      <w:r>
        <w:t>Le recourant fait état de plusieurs facteurs propres, selon lui, à atténuer cette faute. Ils seront analysés sous la proportionnalité de la sanction.</w:t>
      </w:r>
    </w:p>
    <w:p>
      <w:r>
        <w:rPr>
          <w:b/>
        </w:rPr>
        <w:t>E. 9</w:t>
      </w:r>
    </w:p>
    <w:p>
      <w:r>
        <w:t>a. L’autorité intimée a prononcé à l’encontre du recourant un retrait de l’autorisation de pratiquer pour une durée de trois mois.</w:t>
      </w:r>
    </w:p>
    <w:p>
      <w:r>
        <w:t>b.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(ACOM/24/2007 du 26 mars 2007 ; Gabriel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w:t>
      </w:r>
    </w:p>
    <w:p>
      <w:r>
        <w:t>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108 Ia 230 consid. 2b).</w:t>
      </w:r>
    </w:p>
    <w:p>
      <w:r>
        <w:t>Il n’a aucunement trait à la protection des intérêts de celui qui serait lésé par l’acte d’un agent public (Pierre MOOR, Droit administratif, vol. III, 1992, n. 5.3.5.2).</w:t>
      </w:r>
    </w:p>
    <w:p>
      <w:r>
        <w:t>c. En l’espèce, le recourant se prévaut de sa longue carrière, à savoir plus de quarante années, de l’absence d’antécédents, du nombre d’opérations de poses de cages cervicales, notamment de MC + ainsi que des opérations qu’il a effectuées, avec succès, après l’opération du 14 juin 2012 pour considérer que la sanction n’est pas proportionnée.</w:t>
      </w:r>
    </w:p>
    <w:p>
      <w:r>
        <w:t>- 17/20 - A/2839/2017</w:t>
      </w:r>
    </w:p>
    <w:p>
      <w:r>
        <w:t>Certes, le recourant n’a pas d’antécédents. Il a une grande expérience professionnelle et pratique depuis plus de quarante années sans avoir rencontré d’incidents. De même, il a, postérieurement à l’accident, pratiqué de nombreuses interventions chirurgicales avec succès, les opérations de pose de cage Roi C ayant toutefois été effectuées en présence de M. D______. Il ressort par ailleurs du dossier que le recourant s’est préoccupé de l’état de santé de sa patiente pendant les mois qui ont suivi en ayant des échanges de courriels avec un proche de celle-ci. Le recourant se prévaut d’avoir immédiatement reconnu sa faute. Il n’en demeure pas moins qu’il tente dans le cadre de la présente procédure de la minimiser.</w:t>
      </w:r>
    </w:p>
    <w:p>
      <w:r>
        <w:t>Contrairement à ce que soutient le recourant, la pose de deux cages Roi C avant l’intervention n’est pas un élément en sa faveur. Cette intervention ne concernait qu’un seul patient et s’était déroulée en présence de M. D______. Le recourant manquait en conséquence d’expérience, au moment de l’intervention litigieuse, pour la pose de cages cervicales Roi C.</w:t>
      </w:r>
    </w:p>
    <w:p>
      <w:r>
        <w:t>De surcroît, la faute commise est très grave. Elle consiste notamment dans la confusion entre les cages cervicales. Le recourant soutient que le système Roi C avec l’œillet à droite peut être confondu avec la butée de sécurité existant sur le porte-implant du système MC +. Outre que l’on peine à comprendre la comparaison, s’agissant de deux systèmes de cages différentes et que le recourant n’indique pas avoir confondu les systèmes, il ressort des différentes photos versées au dossier que les butées de sécurité du système MC + sont « pleines » alors que l’œillet du système Roi C est vide en son milieu. L’œillet devant servir à maintenir la butée de sécurité, il ne doit précisément pas être « vide » au moment de la pose de la cage, ce que le recourant ne conteste pas.</w:t>
      </w:r>
    </w:p>
    <w:p>
      <w:r>
        <w:t>La comparaison entre le porte-implant du système Roi C correctement monté et celui, incomplet, utilisé dans l’opération litigieuse ne porte pas non plus à confusion selon les photos produites. Le premier a deux tiges de métal, le second une seule. Seule la méconnaissance du système Roi C peut justifier de ne pas s’être rendu compte que l’instrument n’était pas complet.</w:t>
      </w:r>
    </w:p>
    <w:p>
      <w:r>
        <w:t>Enfin, tant dans le système Roi C que MC +, l’instrument correctement monté comprend deux tiges métalliques. Même à suivre le recourant dans sa comparaison entre les deux systèmes pour justifier la confusion, en intervenant avec le seul porte-implant du système Roi C, sans butée de sécurité, le praticien aurait dû se rendre compte qu’il manquait un élément de l’instrument. Soutenir, comme le fait le recourant que « le montage de l’instrument permettant de poser la cage n’est pas particulièrement technique, de sorte qu’il [lui] était impossible de se douter que le montage n’était pas complet » apparaît tout à la fois contradictoire, en ce sens que cette « simplicité » devait lui permettre de vérifier facilement, et contraire aux pièces du dossier, en ce sens qu’il n’était pas « impossible » de se rendre compte de l’absence d’une tige.</w:t>
      </w:r>
    </w:p>
    <w:p>
      <w:r>
        <w:t>- 18/20 - A/2839/2017</w:t>
      </w:r>
    </w:p>
    <w:p>
      <w:r>
        <w:t>Le fait d’être « concentré sur le champ opératoire au travers du microscope » est sans incidence sur ce qui précède, que seul un manque d’expérience avec le système Roi C peut expliquer.</w:t>
      </w:r>
    </w:p>
    <w:p>
      <w:r>
        <w:t>Le recourant indique que l’absence de M. D______, dont il n’avait pas été mis au courant et les risques de confusion relevés par le Dr M______ sont de nature à atténuer sa faute.</w:t>
      </w:r>
    </w:p>
    <w:p>
      <w:r>
        <w:t>Même à considérer que tel serait le cas, ce qui peut souffrir de rester indécis, la sanction prononcée par la commission reste clémente au vu du nombre et de la gravité des manquements du recourant. Ceux-ci sont d’autant plus graves que les risques encourus, en l’espèce, pour le patient étaient importants. S’agissant de la quotité de la sanction, dans un arrêt récent (ATA/473/2018 du 15 mai 2018), la chambre administrative a confirmé la sanction de retrait de l’autorisation de pratiquer la greffe capillaire pour une durée de trois mois, une intervention chirurgicale ayant laissé sur le crâne du patient, à la zone donneuse, une cicatrice d’une largeur de 4 à 5 mm, non hypertrophique, avec visibilité des greffons, sur les golfes frontaux-temporaux. Dans ce dernier cas, il était reproché au praticien un non-respect des règles de l’art lors de l’opération et du suivi postopératoire du patient, de même qu’un manquement à son devoir d’information.</w:t>
      </w:r>
    </w:p>
    <w:p>
      <w:r>
        <w:t>Dans le présent cas, le recourant a agi fautivement à plusieurs moments de l’opération et les conséquences pour sa patiente, aujourd’hui invalide à la suite de cette intervention, sont d’une gravité bien plus grande que le cas précité.</w:t>
      </w:r>
    </w:p>
    <w:p>
      <w:r>
        <w:t>La sanction arrêtée par le département ne viole pas le principe de la proportionnalité. La sanction est adéquate et apte à atteindre le but poursuivi à savoir assurer, par une mesure de coercition administrative, le bon fonctionnement du corps social auquel l’intéressé appartient. Cette sanction est nécessaire et respecte la proportionnalité au sens étroit.</w:t>
      </w:r>
    </w:p>
    <w:p>
      <w:r>
        <w:t>Au regard des graves violations de ses devoirs professionnels, comme précédemment énumérés, cette sanction, d’une durée déterminée, respecte le principe de la proportionnalité, de sorte qu’elle sera confirmée.</w:t>
      </w:r>
    </w:p>
    <w:p>
      <w:r>
        <w:rPr>
          <w:b/>
        </w:rPr>
        <w:t>E. 10</w:t>
      </w:r>
    </w:p>
    <w:p>
      <w:r>
        <w:t>Le recourant conteste la publication de la décision dans la FAO.</w:t>
      </w:r>
    </w:p>
    <w:p>
      <w:r>
        <w:t>Une telle mesure n’est pas conforme au droit fédéral, comme l’a rappelé le Tribunal fédéral dans sa jurisprudence susmentionnée, postérieure au prononcé de l’arrêté. Elle ne saurait par conséquent être ordonnée par l’autorité intimée.</w:t>
      </w:r>
    </w:p>
    <w:p>
      <w:r>
        <w:t>De même et conformément à l’art. 43 LPMed, l’interdiction de pratiquer ne peut concerner que l’activité indépendante du praticien.</w:t>
      </w:r>
    </w:p>
    <w:p>
      <w:r>
        <w:t>Ces éléments ne faisant pas partie du dispositif de l’arrêté querellé, le recours sera rejeté.</w:t>
      </w:r>
    </w:p>
    <w:p>
      <w:r>
        <w:t>- 19/20 - A/2839/2017</w:t>
      </w:r>
    </w:p>
    <w:p>
      <w:r>
        <w:rPr>
          <w:b/>
        </w:rPr>
        <w:t>E. 11</w:t>
      </w:r>
    </w:p>
    <w:p>
      <w:r>
        <w:t>Vu l’issue du litige, un émolument de CHF 1'000.- sera mis à la charge du recourant, qui succombe (art. 87 al. 1 LPA). Une indemnité de procédure de CHF 1'500.- sera allouée à la plaignante à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