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ATA/913/2015 vom 8. September 2015</w:t>
      </w:r>
    </w:p>
    <w:p>
      <w:r>
        <w:t>GE Cour de justice, 2015-09-08, FR</w:t>
      </w:r>
    </w:p>
    <w:p>
      <w:r>
        <w:rPr>
          <w:b/>
        </w:rPr>
        <w:t xml:space="preserve">Quelle: </w:t>
      </w:r>
      <w:r>
        <w:t>https://mcp.opencaselaw.ch/entscheid/ge_gerichte_ATA_913_2015</w:t>
      </w:r>
    </w:p>
    <w:p>
      <w:r>
        <w:t>FR: GE_GERICHTE ATA/913/2015 du 8 septembre 2015</w:t>
      </w:r>
    </w:p>
    <w:p>
      <w:r>
        <w:t>IT: GE_GERICHTE ATA/913/2015 del 8 settembre 2015</w:t>
      </w:r>
    </w:p>
    <w:p>
      <w:pPr>
        <w:pStyle w:val="Heading2"/>
      </w:pPr>
      <w:r>
        <w:t>Erwägungen</w:t>
      </w:r>
    </w:p>
    <w:p>
      <w:r>
        <w:rPr>
          <w:b/>
        </w:rPr>
        <w:t>E. 12</w:t>
      </w:r>
    </w:p>
    <w:p>
      <w:r>
        <w:t>septembre 1985 - LPA - E 5 10). 2)</w:t>
      </w:r>
    </w:p>
    <w:p>
      <w:r>
        <w:t>La loi sur la restauration, le débit de boissons et l’hébergement du</w:t>
      </w:r>
    </w:p>
    <w:p>
      <w:r>
        <w:rPr>
          <w:b/>
        </w:rPr>
        <w:t>E. 17</w:t>
      </w:r>
    </w:p>
    <w:p>
      <w:r>
        <w:t>décembre 1987 (LRDBH - I 2 21) régit l’exploitation à titre onéreux d’établissements voués à la restauration et au débit de boissons à consommer sur place (art. 1 let. a LRDBH). 3)</w:t>
      </w:r>
    </w:p>
    <w:p>
      <w:r>
        <w:t>En cas d’infraction à la LRDBH, le département peut infliger une amende de CHF 100.- à CHF 60'000.-, indépendamment des autres sanctions prévues par cette loi (art. 74 al. 1 LRDBH).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(ATA/282/2015 du 17 mars 2015 consid. 6b ; ATA/774/2014 du 30 septembre 2014 consid. 9b ; ATA/14/2011 du 11 janvier 2011 ; ATA/788/2010 du 16 novembre 2010 ; ATA/571/2010 du 31 août 2010 ; Pierre MOOR/Étienne POLTIER, Droit administratif, Les actes administratifs et leur contrôle, vol. 2, 2011, ch. 1.4.5.5 p. 160 ss).</w:t>
      </w:r>
    </w:p>
    <w:p>
      <w:r>
        <w:t>b. Ni la LRDBH ni la LPA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(ATA/297/2015 du 24 mars 2015 et le références citées).</w:t>
      </w:r>
    </w:p>
    <w:p>
      <w:r>
        <w:t>c. En vertu de l'art. 1 let. a de la loi pénale genevoise du 17 novembre 2006 (LPG - E 4 05), les dispositions de la partie générale du code pénal suisse du</w:t>
      </w:r>
    </w:p>
    <w:p>
      <w:r>
        <w:rPr>
          <w:b/>
        </w:rPr>
        <w:t>E. 21</w:t>
      </w:r>
    </w:p>
    <w:p>
      <w:r>
        <w:t>décembre 1937 (CP - RS 311.0) s'appliquent à titre de droit cantonal supplétif, sous réserve de celles qui concernent exclusivement le juge pénal (comme notamment les art. 34 ss, 42 ss, 56 ss, 74 ss, 106 al. 2 et 3 et 107 CP).</w:t>
      </w:r>
    </w:p>
    <w:p>
      <w:r>
        <w:t>Afin de maintenir la cohérence voulue par la chambre de céans entre les règles du droit pénal général et celles du droit pénal administratif (cf. notamment ATA/324/2008 du 17 juin 2008 ; ATA/934/2004 du 30 novembre 2004) et faute d’une base légale de droit cantonal réglant expressément de manière différente la question de la prescription pour les amendes administratives, il y a lieu de faire application, par analogie, de l’art. 109 CP.</w:t>
      </w:r>
    </w:p>
    <w:p>
      <w:r>
        <w:t>- 4/5 - A/3569/2014 5) a. Pour les contraventions, la prescription de l’action pénale est de trois ans (art. 109 CP). Elle court, alternativement, dès le jour où l'auteur a exercé son activité coupable, dès le jour du dernier acte si cette activité s'est exercée à plusieurs reprises ou encore dès le jour où les agissements coupables ont cessé s'ils ont eu une certaine durée (art. 98 CP).</w:t>
      </w:r>
    </w:p>
    <w:p>
      <w:r>
        <w:t>b. Elle cesse de courir si, avant son échéance, un jugement de première instance a été rendu (art. 97 al. 3 CP).</w:t>
      </w:r>
    </w:p>
    <w:p>
      <w:r>
        <w:t>c. La prescription est une question de droit matériel qu’il y a lieu d’examiner d'office lorsqu'elle joue en faveur de l’administré (ATF 138 II 169 consid. 3.2 p. 171). 6)</w:t>
      </w:r>
    </w:p>
    <w:p>
      <w:r>
        <w:t>En l’espèce, l’infraction à la LRDBH sanctionnée par l’amende litigieuse a été constatée par la police le 24 décembre 2011. La prescription était acquise trois ans plus tard, soit le 24 décembre 2014, dès lors qu’aucun jugement n’avait été prononcé à cette date, et que la décision du Scom n’était pas devenue définitive du fait du recours.</w:t>
      </w:r>
    </w:p>
    <w:p>
      <w:r>
        <w:t>En conséquence, le recours sera admis, et la décision litigieuse sera annulée. 7)</w:t>
      </w:r>
    </w:p>
    <w:p>
      <w:r>
        <w:t>Au vu de cette issue, aucun émolument ne sera mis à la charge du recourant, (art. 87 al. 1 LPA). Aucune indemnité de procédure ne lui sera allouée dès lors qu’il n’y a pas conclu et qu’il n’a pas exposé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