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ATA/910/2020 vom 22. September 2020</w:t>
      </w:r>
    </w:p>
    <w:p>
      <w:r>
        <w:t>GE Cour de justice, 2020-09-22, FR</w:t>
      </w:r>
    </w:p>
    <w:p>
      <w:r>
        <w:rPr>
          <w:b/>
        </w:rPr>
        <w:t xml:space="preserve">Quelle: </w:t>
      </w:r>
      <w:r>
        <w:t>https://mcp.opencaselaw.ch/entscheid/ge_gerichte_ATA_910_2020</w:t>
      </w:r>
    </w:p>
    <w:p>
      <w:r>
        <w:t>FR: GE_GERICHTE ATA/910/2020 du 22 septembre 2020</w:t>
      </w:r>
    </w:p>
    <w:p>
      <w:r>
        <w:t>IT: GE_GERICHTE ATA/910/2020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A/4489/2016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du recourant,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 A______ a recouru, concluant à son annulation. Entrée en vigueur le 4 juillet 2020, la loi 12'315 a toutefois abrogé l’art. 59 LIP, sur laquelle le cahier des charges litigieux se fonde, l’intimé ayant expliqué que les directeurs d’établissement n’étaient plus tenus audites missions et actions pédagogiques à compter de cette date et précisé que leur cahier des charges était en cours de modification.</w:t>
      </w:r>
    </w:p>
    <w:p>
      <w:r>
        <w:t>Dans la mesure où le recourant a obtenu, par ce biais, ce qu’il demandait dans le cadre de son recours, il ne dispose plus d’un intérêt actuel à recourir, étant précisé qu’il n’a pris aucune conclusion spécifique autre que l’annulation de la décision contestée s’agissant de la période pendant laquelle il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prononcer sur la conformité de la décision litigieuse au droit lors de sa période d’application.</w:t>
      </w:r>
    </w:p>
    <w:p>
      <w:r>
        <w:t>Il appert ainsi que l’intérêt digne de protection du recourant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A/4489/2016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le recourant perd de vue que, de jurisprudence constante, ladite indemnité ne constitue qu’une participation aux honoraires d’avocat, qui sera fixée à CHF 300.-. Ce montant tient compte en particulier de l’acte de recours par lequel le recourant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le recourant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A/4489/2016</w:t>
      </w:r>
    </w:p>
    <w:p>
      <w:r>
        <w:t>Par ailleurs, aucun émolument ne sera mis à la charge du recourant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