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ATA/90/2025 vom 21. Januar 2025</w:t>
      </w:r>
    </w:p>
    <w:p>
      <w:r>
        <w:t>GE Cour de justice, 2025-01-21, FR</w:t>
      </w:r>
    </w:p>
    <w:p>
      <w:r>
        <w:rPr>
          <w:b/>
        </w:rPr>
        <w:t xml:space="preserve">Quelle: </w:t>
      </w:r>
      <w:r>
        <w:t>https://mcp.opencaselaw.ch/entscheid/ge_gerichte_ATA_90_2025</w:t>
      </w:r>
    </w:p>
    <w:p>
      <w:r>
        <w:t>FR: GE_GERICHTE ATA/90/2025 du 21 janvier 2025</w:t>
      </w:r>
    </w:p>
    <w:p>
      <w:r>
        <w:t>IT: GE_GERICHTE ATA/90/2025 del 21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145LIFD).</w:t>
      </w:r>
    </w:p>
    <w:p>
      <w:r>
        <w:rPr>
          <w:b/>
        </w:rPr>
        <w:t>E. 2</w:t>
      </w:r>
    </w:p>
    <w:p>
      <w:r>
        <w:t>Se pose la question du droit matériel applicable.</w:t>
      </w:r>
    </w:p>
    <w:p>
      <w:r>
        <w:rPr>
          <w:b/>
        </w:rPr>
        <w:t>E. 2.1</w:t>
      </w:r>
    </w:p>
    <w:p>
      <w:r>
        <w:t>En l'absence d'une réglementation expresse contraire, le droit applicable à la taxation est celui en vigueur pendant la période fiscale en cause (ATF 140 I 68 ; arrêt du Tribunal fédéral 9C_715/2022 du 19 juillet 2023 consid. 5).</w:t>
      </w:r>
    </w:p>
    <w:p>
      <w:r>
        <w:rPr>
          <w:b/>
        </w:rPr>
        <w:t>E. 2.2</w:t>
      </w:r>
    </w:p>
    <w:p>
      <w:r>
        <w:t>En l'occurrence, le litige porte sur la taxation ICC et IFD pour l’année 2011. La cause est ainsi régie par le droit en vigueur durant cette période, à savoir, s'agissant de l'IFD, par les dispositions de la LIFD entrées en vigueur le 1er janvier 1995, dans sa teneur lors de la période fiscale litigieuse. La loi fédérale sur l’harmonisation des impôts directs des cantons et des communes du 14 décembre 1990 (LHID - RS 642.14) trouve également application. Quant à l'ICC, le 1er janvier 2010, est entrée en vigueur la LIPP. L’art. 72 al. 1 LIPP prévoit que cette loi s’applique pour la première fois pour les impôts de la période fiscale 2010. Elle s'applique donc pour la période fiscale 2011.</w:t>
      </w:r>
    </w:p>
    <w:p>
      <w:r>
        <w:rPr>
          <w:b/>
        </w:rPr>
        <w:t>E. 3</w:t>
      </w:r>
    </w:p>
    <w:p>
      <w:r>
        <w:t>Compte tenu de l'ancienneté de la taxation litigieuse, se pose également la question de la prescription du droit de taxer.</w:t>
      </w:r>
    </w:p>
    <w:p>
      <w:r>
        <w:rPr>
          <w:b/>
        </w:rPr>
        <w:t>E. 3.1</w:t>
      </w:r>
    </w:p>
    <w:p>
      <w:r>
        <w:t>La prescription ou la péremption sont des questions de droit matériel que la chambre administrative, à l'instar du Tribunal fédéral, examine d'office lorsqu'elles jouent en faveur du contribuable (ATF 138 II 169 consid. 3.2 ; ATA/976/2021 du 21 septembre 2021 consid. 2a) tant pour l'IFD que les ICC, lorsque celles-ci se fondent sur le droit fédéral (ATF 138 II 169 consid. 3.4 ; arrêt du Tribunal fédéral 2C_41/2020 du 24 juin 2020 consid. 4). Ces questions doivent également être examinées dans le cadre d'une demande de sûretés. Lorsqu'une créance fiscale est prescrite, elle n'est plus exigible, de sorte que des sûretés ne peuvent plus être requises pour la garantir (arrêts du Tribunal fédéral 2C_1059/2020 du 17 août 2021 consid. 3.1 ; 2C_85/2020 du 6 octobre 2020 consid. 5.6.4).</w:t>
      </w:r>
    </w:p>
    <w:p>
      <w:r>
        <w:rPr>
          <w:b/>
        </w:rPr>
        <w:t>E. 3.2</w:t>
      </w:r>
    </w:p>
    <w:p>
      <w:r>
        <w:t>Conformément à l’art. 120 LIFD, le droit de procéder à la taxation se prescrit par cinq ans à compter de la fin de la période fiscale. Les art. 152 et 184 sont réservés (al. 1). La prescription ne court pas ou est suspendue (al. 2) : pendant les procédures de réclamation, de recours ou de révision (let. a) ; aussi longtemps que la créance d’impôt est garantie par des sûretés ou que le recouvrement est ajourné (let. b) ; aussi longtemps que le contribuable ou une personne solidairement responsable avec lui du paiement de l’impôt n’a pas de domicile en Suisse ou n’y est pas en séjour (let. c). Un nouveau délai de prescription commence à courir (al. 3) : lorsque l’autorité prend une mesure tendant à fixer ou faire valoir la créance d’impôt et en informe le contribuable ou une personne solidairement responsable</w:t>
      </w:r>
    </w:p>
    <w:p>
      <w:r>
        <w:t>- 8/17 - A/148/2023 avec lui du paiement de l’impôt (let. a) ; lorsque le contribuable ou une personne solidairement responsable avec lui reconnaît expressément la dette d’impôt (let. b); lorsqu’une demande en remise d’impôt est déposée (let. c) ; lorsqu’une poursuite pénale est introduite ensuite de soustraction d’impôt consommée ou de délit fiscal (let. d). La prescription du droit de procéder à la taxation est acquise dans tous les cas quinze ans après la fin de la période fiscale (al. 4).</w:t>
      </w:r>
    </w:p>
    <w:p>
      <w:r>
        <w:rPr>
          <w:b/>
        </w:rPr>
        <w:t>E. 3.3</w:t>
      </w:r>
    </w:p>
    <w:p>
      <w:r>
        <w:t>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 du Tribunal fédéral 2C_810/2017 du 16 août 2018 consid. 4.1 et 4.2).</w:t>
      </w:r>
    </w:p>
    <w:p>
      <w:r>
        <w:rPr>
          <w:b/>
        </w:rPr>
        <w:t>E. 3.4</w:t>
      </w:r>
    </w:p>
    <w:p>
      <w:r>
        <w:t>En l'occurrence, il ressort du dossier que l'AFC-GE a fait parvenir au recourant le 15 novembre 2016 une lettre constituant un acte interruptif de prescription, si bien qu'un nouveau délai de prescription a commencé à courir. Ce nouveau délai de prescription a été par la suite interrompu par les différentes demandes de renseignements adressées par l'intimée au recourant les 20 avril 2017, 29 septembre 2017, 21 mars 2018 et 25 mai 2018. Entre cette dernière date et l'émission des bordereaux d'impôts le 3 février 2022, il s'est écoulé moins de quatre ans, soit un délai inférieur aux cinq ans requis pour retenir une prescription du droit de taxer. Contrairement aux allégations du recourant, la prescription quinquennale du droit de taxer n'était pas acquise au moment de la taxation. Il en va de même de la prescription absolue de quinze ans, qui n'est pas non plus atteinte.</w:t>
      </w:r>
    </w:p>
    <w:p>
      <w:r>
        <w:rPr>
          <w:b/>
        </w:rPr>
        <w:t>E. 4</w:t>
      </w:r>
    </w:p>
    <w:p>
      <w:r>
        <w:t>Le recourant reproche à l'AFC-GE de n'avoir ni fait droit à sa demande d'expertise de la valeur vénale du bien immobilier ni permis qu'il se détermine sur l'estimation des biens immobiliers à laquelle elle a procédé. Il invoque à cet égard la violation de la maxime d'office et du droit à la preuve.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w:t>
      </w:r>
    </w:p>
    <w:p>
      <w:r>
        <w:t>- 9/17 - A/148/2023 consid. 3.2 ; 2C_236/2019 du 4 juillet 2019 consid. 5.2 ; ATA/484/2020 du 19 mai 2020 consid. 2a et les arrêts cités).</w:t>
      </w:r>
    </w:p>
    <w:p>
      <w:r>
        <w:rPr>
          <w:b/>
        </w:rPr>
        <w:t>E. 4.2</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rPr>
          <w:b/>
        </w:rPr>
        <w:t>E. 4.3</w:t>
      </w:r>
    </w:p>
    <w:p>
      <w:r>
        <w:t>En l'occurrence, il ressort du dossier que l'AFC-GE avait retenu dans les bordereaux fiscaux notifiés au recourant la valeur de CHF 1'780'000.- pour les biens immobiliers en cause, valeur que le recourant avait contestée, conduisant celle-là à procéder, dans le cadre de la procédure de décision de réclamation, à une nouvelle estimation arrêtée à CHF 1'375'000.-. Or, comme il sera vu plus en détail ci-après, le recourant n’a pas déposé de nouvelle demande d'expertise de ses biens immobiliers avant le 31 décembre 2011 ; aussi et surtout, les 21 mars et 25 mai 2018, l'AFC-GE a demandé en vain au recourant de lui fournir le détail des lots et de leur valeur. De même, faisant suite à la contestation de l'estimation attribuée aux biens immobiliers en cause dans les bordereaux fiscaux, celle-là a demandé les 28 mars et 10 mai 2022 à celui-ci, dans le cadre de l'instruction de la réclamation de lui remettre un rapport d'expertise détaillé de leur valeur vénale, ce à quoi ce dernier a répondu qu'il était difficile de définir cette valeur onze ans après le transfert. Dans ces conditions, on doit retenir que le TAPI n’avait pas à ordonner une expertise. Le grief sera ainsi écarté.</w:t>
      </w:r>
    </w:p>
    <w:p>
      <w:r>
        <w:rPr>
          <w:b/>
        </w:rPr>
        <w:t>E. 5</w:t>
      </w:r>
    </w:p>
    <w:p>
      <w:r>
        <w:t>Le recourant invoque – pour la première fois devant la chambre de céans – la violation du principe de la bonne foi.</w:t>
      </w:r>
    </w:p>
    <w:p>
      <w:r>
        <w:rPr>
          <w:b/>
        </w:rPr>
        <w:t>E. 5.1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w:t>
      </w:r>
    </w:p>
    <w:p>
      <w:r>
        <w:t>- 10/17 - A/148/2023</w:t>
      </w:r>
    </w:p>
    <w:p>
      <w:r>
        <w:rPr>
          <w:b/>
        </w:rPr>
        <w:t>E. 5.2</w:t>
      </w:r>
    </w:p>
    <w:p>
      <w:r>
        <w:t>En l'espèce, le recourant se prévaut du fait qu’un membre du personnel de l'AFC-GE aurait confirmé que le transfert d'un bien immobilier commercial dans la fortune privée se faisait au moment de la vente et non pas au moment de la répartition interne décidée par les associés de la société simple. Quand bien même une telle déclaration serait avérée – ce qui n’est nullement le cas, le recourant ne fournissant aucune pièce à cet égard ni ne donnant aucun détail concret sur les circonstances dans lesquelles le renseignement allégué aurait été donné –, on ne saurait retenir qu’il s’agisse là d’une promesse expresse d’un certain traitement fiscal de la part de l’intimée. Le grief sera ainsi écarté. 6. Le recourant conteste l'évaluation de ses biens immobiliers à CHF 1'375'000.-, prise en compte dans sa taxation 2011. 6.1 Selon l’art. 13 al. 1 LHID, l’impôt sur la fortune a pour objet l’ensemble de la fortune nette. Celle-ci est estimée en principe à la valeur vénale, la valeur de rendement pouvant être prise en compte de façon appropriée (art. 14 al. 1 LHID).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w:t>
      </w:r>
    </w:p>
    <w:p>
      <w:r>
        <w:t>- 11/17 - A/148/2023 s’écartent par trop de la valeur vénale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1er octobre 2018 consid. 5.1). 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 L’art. 50 LIPP établit les principes d’évaluation des immeubles situés dans le canton, qui ont été jugés conformes à l’art. 14 LHID (ATF 134 II 2017 consid. 3 ; arrêt du Tribunal fédéral 2C_194/2018 du 1er octobre 2018 consid. 5.3). Selon l'art. 50 let. e LIPP, les « autres immeubles », parmi lesquels figurent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6.2 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ATA/223/2019 du 5 mars 2019 consid. 6 ; ATA/71/2018 du 23 janvier 2018 consid. 7b ; ATA/45/2018 du 16 janvier 2018 consid. 4b).</w:t>
      </w:r>
    </w:p>
    <w:p>
      <w:r>
        <w:t>- 12/17 - A/148/2023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précité consid. 4b ; ATA/960/2014 consid. 5b ; RDAF 2000 II p. 280). La notion de « changements importants » de la valeur d'un immeuble doit être interprétée de manière restrictive. Elle ne couvre que les changements objectifs, matériels et importants dans la valeur de la propriété. Tel n'est notamment pas le cas des modifications conjoncturelles du marché immobilier (ATA/71/2018 précité consid. 7b ; ATA/618/2014 du 12 août 2014 consid. 2e). Le Tribunal fédéral a déjà jugé qu'une stricte application des règles de procédure, notamment celles relatives aux délais, était justifiée par des motifs d'égalité de traitement et par un intérêt public lié à une bonne administration de la justice et à la sécurité du droit. Il a dès lors nié tout formalisme excessif en lien avec le délai pour demander l'expertise du bien (arrêts du Tribunal fédéral 2C_120/2022 du 10 juin 2022 consid. 4 ; 2C_734/2008 précité consid. 6.2). 6.3 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Il appartient à l'autorité de démontrer l'existence d'éléments créant ou augmentant la charge fiscale, tandis que le contribuable doit supporter le fardeau de la preuve des éléments qui réduisent ou éteignent son obligation d'impôts. 6.4 En l'espèce, le TAPI a constaté que la valeur déterminante arrêtée par l'intimée correspondait à la valeur vénale de l'appartement fixée à CHF 1'345'000.- et à celle de la place de stationnement à CHF 30'000.-. Pour aboutir à ces montants, l'AFC-GE, soit plus précisément son service d'évaluation compétent, avait fixé la valeur vénale des lots nos 103 et 106 à CHF 7'500.-/m2, sur la base de l'ensemble des ventes PPE faites dans le canton en 2011, puis avait procédé à une pondération de cette valeur de 10%, la réduisant ainsi à CHF 6'750.- /m2. En tant qu'une telle évaluation reposait sur les prix obtenus pour d'autres propriétés de même nature qui se trouvaient dans des conditions analogues, c'est à juste titre que le TAPI a jugé qu'elle était conforme à l'art. 50 let. e LIPP. Le fait que la valeur</w:t>
      </w:r>
    </w:p>
    <w:p>
      <w:r>
        <w:t>- 13/17 - A/148/2023 fiscale retenue résulte d'une modification de la valeur initialement arrêtée dans les premiers bordereaux fiscaux ne change rien à cette conclusion, pas plus que la volonté du recourant de vouloir substituer sa propre estimation à celle de l'intimée, sans démontrer en quoi cette dernière serait contraire au droit. Il ne peut non plus se prévaloir du transfert des biens immobiliers en cause dans sa fortune privée pour contester la détermination de la valeur vénale à laquelle a procédé l'intimée, comme il sera examiné ci-après. Le recourant ne conteste pas ne pas avoir déposé une nouvelle demande d'expertise de ses biens immobiliers avant le 31 décembre 2011, puisqu'il ressort du dossier qu'une telle demande n'a été formulée que dans sa réplique devant le TAPI, contrairement à la jurisprudence citée. Il n'est donc pas fondé à se prévaloir de la violation de son droit d'être entendu et encore moins du formalisme excessif, dès lors que sa demande était tardive (ATA/1401/2021 du 21 du décembre 2021 consid. 4, confirmé par l'arrêt du Tribunal fédéral 2C_120/2022 du 10 juin 2022, consid. 4). Il apparaît également que, les 21 mars et 25 mai 2018, l'AFC-GE a demandé en vain au recourant de lui fournir le détail des lots et de leur valeur. De même, faisant suite à la contestation de l'estimation attribuée aux biens immobiliers en cause dans les bordereaux fiscaux, celle-là a demandé les 28 mars et 10 mai 2022 à celui-ci, dans le cadre de l'instruction de la réclamation de lui remettre un rapport d'expertise détaillé de leur valeur vénale, ce à quoi ce dernier a répondu qu'il était difficile de définir cette valeur onze ans après le transfert. En ne répondant pas aux demandes de rapport d'expertise émanant de l'AFC-GE, le recourant qui ne s'est ainsi pas conformé aux exigences de répartition du fardeau en matière fiscale a ainsi échoué à apporter la preuve de la réduction de sa charge fiscale. Partant, il doit s'accommoder de la valeur fiscale retenue par l'intimée. Mal fondé, le grief sera écarté. 7. Le recourant conteste l'imposition en son chef pour l'exercice 2011 des biens immobiliers en cause à leur valeur vénale et demande à être au bénéfice d'un report d'imposition. 7.1 En principe,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(art. 18 al. 2 LIFD). Il existe une disposition similaire pour l'ICC (art. 8 al. 1 LHID ; art. 19 al. 2 LIPP). L'art. 18 al. 3 LIFD précise que l'art. 58 LIFD, régissant le bénéfice net imposable des personnes morales, s'applique par analogie aux contribuables qui tiennent une comptabilité en bonne et due forme. Une disposition équivalente existe en matière d'ICC (art. 19 al. 4 phr. 1 LIPP).</w:t>
      </w:r>
    </w:p>
    <w:p>
      <w:r>
        <w:t>- 14/17 - A/148/2023 7.2 Le passage de la fortune commerciale à la fortune privée constitue un cas de réalisation systématique. Il déclenche l'imposition des réserves latentes alors qu'il n'y a pas de changement de propriétaire sur le plan civil (Yves NOËL, in Yves NOËL/Florence AUBRY GIRARDIN [éd.], Commentaire romand, Impôt fédéral direct, 2017, n. 76 ad art. 18 LIFD). Le moment déterminant pour le passage de la fortune commerciale à la fortune privée selon l'art. 18 al. 2 LIFD est celui où le contribuable manifeste de manière claire et précise, expressément ou par actes concluants, à l’égard des autorités fiscales sa volonté de transférer l'élément en cause dans sa fortune privée (ATF 125 II 113 consid. 6c ; arrêt du Tribunal fédéral 2C_851/2015 et 2C_852/2015 du 3 juin 2016 consid. 4.2). Dans le cadre d'une transformation d'une entreprise individuelle en société à responsabilité limitée, le Tribunal fédéral a récemment jugé qu'une telle volonté peut découler du fait que des biens de l'entreprise individuelle ne sont pas repris dans la nouvelle société, ce qui implique – par acte concluant – un passage de ceux-ci dans la fortune privée du propriétaire (arrêt du Tribunal fédéral 2C_370/2014 du 9 février 2015 consid. 7.2). 7.3 L'art. 58 al. 1 let. a LIFD énonce le principe de l'autorité du bilan commercial (ou principe de déterminance), selon lequel le bilan commercial est déterminant en droit fiscal. Le principe de déterminance déploie aussi un effet contraignant pour le contribuable. En effet, celui-ci est lié par son mode de comptabilisation et seules les écritures ressortant des comptes sont décisives (Robert DANON, in Yves NOËL/Florence AUBRY GIRARDIN [éd.], op cit., n. 51 ad art. 57-58).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et impôt sur le bénéfice, vol. 2, 2005, p. 89). 7.4 Aux termes de l'art. 18a al. 1 LIFD et 19A al. 1 LIPP,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7.5 Selon la Circulaire n° 26 sur les nouveautés concernant l'activité lucrative indépendante suite à l'adoption de la loi sur la réforme de l'imposition des entreprises II, édictée le 16 décembre 2009 et entrée en vigueur le 1er janvier 2011 (ci- après : la circulaire n° 26), le différé n’est possible que pour les immeubles que le travailleur indépendant possède dans son actif immobilisé, et non pour ceux de son actif circulant (commerce professionnel d’immeuble).</w:t>
      </w:r>
    </w:p>
    <w:p>
      <w:r>
        <w:t>- 15/17 - A/148/2023 Pour qualifier un bien d'actif immobilisé, il convient de se référer à son affectation dans l'entreprise ainsi qu'au caractère durable de l'investissement réalisé. Un actif immobilisé est en effet acquis en vue d'un usage répété et non dans le but d'une revente. Il s'oppose ainsi à l'actif circulant, qui est acheté et revendu constamment. Les biens immobiliers d'une promotion immobilière en cours constituent des actifs circulants et l'imposition différée n'est donc pas possible (Bastien VERREY, in Yves NOËL/Florence AUBRY GIRARDIN [éd.], op. cit., n. 9 ad art. 18a LIFD, p. 351). 7.6 Selon la jurisprudence, il y a lieu de distinguer trois types de biens immobiliers : ceux faisant partie de l'actif circulant, destinés à la revente et considérés comme des marchandises, les immeubles d'exploitation servant directement à l'exploitation commerciale de l'entreprise (actifs immobilisés) et, enfin, les immeubles de placement, qui ne servent qu'indirectement l'entreprise, par le rendement qu'ils lui procurent (arrêts du Tribunal fédéral 2C_50/2011 du 16 mai 2011 et 2C_107/2011 du 2 avril 2012 = RDAF 2012 II 539). Le Tribunal fédéral a, dans ces arrêts, admis qu'en général, le commerçant professionnel d'immeubles ne dispose pas d'immeubles pouvant être qualifiés d'actifs immobilisés ou de placement et qu’il s’agissait plutôt d'actifs circulants (arrêt du Tribunal fédéral 2C_107/2011 précité consid. 3.2), comme le prévoit du reste la circulaire (circulaire n° 26, ch. 2.1). 7.7 En l'espèce, il n'est pas contesté que les biens immobiliers litigieux faisaient partie de la fortune commerciale de la promotion immobilière. Or, il ressort clairement du contrat de société simple que les parties contractantes prévoyaient l'attribution de l'appartement n° 106 au recourant. Il convient dès lors de déterminer si le bien immobilier a été prélevé par le recourant, afin de connaître le moment du passage du bien dans la fortune privée. Il apparaît à la lecture des comptes 2011 de la promotion immobilière annexés à la déclaration fiscale 2011 du recourant que ceux-ci faisaient état de l'attribution d'un appartement à la valeur comptable de CHF 200'000.- (lots nos 103 et 106) au recourant. Dès lors, bien que le contrat de société simple contînt déjà une clause relative au transfert de l'appartement au recourant, ce n'est que le 31 décembre 2011 au plus tard que l'intéressé, par acte concluant, a manifesté de manière reconnaissable pour l'autorité fiscale que l'immeuble en question, qui ne figurait plus dans les actifs de la promotion immobilière au 31 décembre 2011, passait dans sa fortune privée. Le fait que le recourant ait porté l'appartement litigieux à la valeur de revient dans les comptes de la promotion immobilière ne suffit pas à remettre en cause cette conclusion. Ainsi, c'est à juste titre que le TAPI a confirmé qu'on était en présence d'un cas de réalisation systématique qui ouvrait la voie à l'imposition des réserves latentes au titre de bénéfice relatif au passage de l'immeuble litigieux dans la fortune privée du recourant. Ce dernier ne peut se prévaloir de l'imposition différée de ces réserves latentes. En tant qu'il est indiscutable que le bien immobilier concerné faisait partie de l'actif</w:t>
      </w:r>
    </w:p>
    <w:p>
      <w:r>
        <w:t>- 16/17 - A/148/2023 circulant de la promotion immobilière, conformément à la jurisprudence précitée, l'une des conditions nécessaires au report de l'imposition en cas de transfert d'un immeuble de la fortune commerciale à la fortune privée n'est pas remplie. Partant, les dispositions de l'art. 18a al. 1 LIFD et 19A al. 1 LIPP ne sont pas applicables au présent cas. Il résulte de ce qui précède que le jugement du TAPI ne prête pas le flanc à la critique. Entièrement infondé, le recours sera rejeté.</w:t>
      </w:r>
    </w:p>
    <w:p>
      <w:r>
        <w:rPr>
          <w:b/>
        </w:rPr>
        <w:t>E. 8</w:t>
      </w:r>
    </w:p>
    <w:p>
      <w:r>
        <w:t>Au vu de l'issue du litige, un émolument de CHF 700.- sera mis à la charge du recourant, qui succombe (art. 87 al. 1 LPA) et ne peut dès lors se voir allouer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