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ATA/905/2015 vom 1. September 2015</w:t>
      </w:r>
    </w:p>
    <w:p>
      <w:r>
        <w:t>GE Cour de justice, 2015-09-01, FR</w:t>
      </w:r>
    </w:p>
    <w:p>
      <w:r>
        <w:rPr>
          <w:b/>
        </w:rPr>
        <w:t xml:space="preserve">Quelle: </w:t>
      </w:r>
      <w:r>
        <w:t>https://mcp.opencaselaw.ch/entscheid/ge_gerichte_ATA_905_2015</w:t>
      </w:r>
    </w:p>
    <w:p>
      <w:r>
        <w:t>FR: GE_GERICHTE ATA/905/2015 du 1 septembre 2015</w:t>
      </w:r>
    </w:p>
    <w:p>
      <w:r>
        <w:t>IT: GE_GERICHTE ATA/905/2015 del 1 settembre 2015</w:t>
      </w:r>
    </w:p>
    <w:p>
      <w:pPr>
        <w:pStyle w:val="Heading2"/>
      </w:pPr>
      <w:r>
        <w:t>Regeste</w:t>
      </w:r>
    </w:p>
    <w:p>
      <w:r>
        <w:t>Résumé: Rejet du recours de l'autorité fiscale. Cette dernière n'a pas apporté la preuve de l'existence d'un prêt simulé qu'aurait octroyé la société à son unique actionnaire. Une partie de la dette a été amortie avant l'ouverture de la procédure en rappel et en soustraction d'impôt. La volonté initiale de l'actionnaire était, en l'espèce, celle de rembourser la dette.</w:t>
      </w:r>
    </w:p>
    <w:p>
      <w:pPr>
        <w:pStyle w:val="Heading2"/>
      </w:pPr>
      <w:r>
        <w:t>Erwägungen</w:t>
      </w:r>
    </w:p>
    <w:p>
      <w:r>
        <w:rPr>
          <w:b/>
        </w:rPr>
        <w:t>E. 12</w:t>
      </w:r>
    </w:p>
    <w:p>
      <w:r>
        <w:t>septembre 1985 - LPA - E 5 10). 2)</w:t>
      </w:r>
    </w:p>
    <w:p>
      <w:r>
        <w:t>Les questions de droit matériel sont résolues par le droit en vigueur au cours des périodes fiscales litigieuses (arrêts du Tribunal fédéral 2C_835/2012 du 1er avril 2013 consid. 8 ; 2A.568/1998 du 31 janvier 2000 ; ATA/780/2013 du 26 novembre 2013 consid. 2 et les références citées), sous réserve de l'amende pour laquelle s'applique le principe de la lex mitior.</w:t>
      </w:r>
    </w:p>
    <w:p>
      <w:r>
        <w:t>De même, les prétentions découlant du rappel d'impôt sont régies par le droit en vigueur au cours des périodes fiscales en cause (arrêts du Tribunal fédéral 2C_662/2014 du 25 avril 2015 consid. 4 ; 2A.568/1998 du 31 janvier 2000 consid. 2.1 ; ATA/342/2015 du 14 avril 2015 consid. 5a ; ATA/790/2013 du 3 décembre 2013 consid. 2 ; ATA/505/2008 du 30 septembre 2008 consid. 3 ; ATA/93/2005 du 1er mars 2005 consid. 3d et les références citées).</w:t>
      </w:r>
    </w:p>
    <w:p>
      <w:r>
        <w:t>En l’espèce, l’IFD est soumis à la loi fédérale sur l’impôt fédéral direct du</w:t>
      </w:r>
    </w:p>
    <w:p>
      <w:r>
        <w:rPr>
          <w:b/>
        </w:rPr>
        <w:t>E. 14</w:t>
      </w:r>
    </w:p>
    <w:p>
      <w:r>
        <w:t>décembre 1990 (LIFD - RS 642.11), entrée en vigueur le 1er janvier 1995.</w:t>
      </w:r>
    </w:p>
    <w:p>
      <w:r>
        <w:t>Quant à l’ICC, le 1er janvier 2010 est entrée en vigueur la loi sur l’imposition des personnes physiques du 27 septembre 2009 (LIPP - D 3 08), dont l’art. 69 abroge les cinq anciennes lois sur l’imposition des personnes physiques – Impôt sur le revenu (revenu imposable ; aLIPP-IV - D 3 14). L’art. 72 al. 1 LIPP prévoit que cette loi s’applique pour la première fois pour les impôts de la période</w:t>
      </w:r>
    </w:p>
    <w:p>
      <w:r>
        <w:t>- 8/13 - A/3252/2013 fiscale 2010 et que les impôts relatifs aux périodes fiscales antérieures demeurent régis par les dispositions de l’ancien droit, même après l’entrée en vigueur de la nouvelle loi.</w:t>
      </w:r>
    </w:p>
    <w:p>
      <w:r>
        <w:t>Le recours concerne les périodes fiscales 2009 et 2010 si bien que le droit cantonal dans sa teneur à cette date est applicable pour l'année 2009 (aLIPP-IV), la LIPP pour l'année 2010. 3)</w:t>
      </w:r>
    </w:p>
    <w:p>
      <w:r>
        <w:t>L'objet du litige porte sur la reprise dans le revenu imposable IFD et ICC 2009-2010 des contribuables des montants de CHF 65'077.- et CHF 52'858.- au titre d'avantage appréciable en argent, ainsi que des intérêts y relatifs. Il convient par conséquent de déterminer si les contribuables ont bénéficié d'un tel avantage, sous forme de prêt simulé, comme le soutient la recourante. 4) a. L'impôt sur le revenu a pour objet tous les revenus du contribuable, qu'ils soient uniques ou périodiques (art. 16 al. 1 LIFD ; art. 17 LIPP).</w:t>
      </w:r>
    </w:p>
    <w:p>
      <w:r>
        <w:t>b.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(ATA/342/2015 précité consid. 6b ; ATA/682/2014 du 26 août 2014 consid. 3b ; ATA/503/2009 du 6 octobre 2009 ; ATA/110/2009 du 3 mars 2009).</w:t>
      </w:r>
    </w:p>
    <w:p>
      <w:r>
        <w:t>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ATA/682/2014 du 26 août 2014 consid. 3c ; ATA/714/2012 du 30 octobre 2012 consid. 6b), c’est-à- dire une conception extensive de la notion de revenu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(ATA/342/2015 précité consid. 6c ; ATA/682/2014 du 26 août 2014 consid. 3c). 5) a. Selon les art. 20 al. 1 let. c LIFD, 6 al. 1 let. c aLIPP-IV et 22 al. 1 let. c LIPP, est imposable le rendement de la fortune mobilière,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w:t>
      </w:r>
    </w:p>
    <w:p>
      <w:r>
        <w:t>- 9/13 - A/3252/2013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 ATA/594/2015 du 9 juin 2015 consid. 6b).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en particulier en sa let. h, une disposition équivalente à l’art. 58 al. 1 let. b LIFD (ATA/594/2015 précité consid. 6b).</w:t>
      </w:r>
    </w:p>
    <w:p>
      <w:r>
        <w:t>De jurisprudence constante, il y a un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w:t>
      </w:r>
    </w:p>
    <w:p>
      <w:r>
        <w:rPr>
          <w:b/>
        </w:rPr>
        <w:t>E. 17</w:t>
      </w:r>
    </w:p>
    <w:p>
      <w:r>
        <w:t>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w:t>
      </w:r>
    </w:p>
    <w:p>
      <w:r>
        <w:t>c. Le Tribunal fédéral a développé un certain nombre de critères dont la réalisation permet de conclure au fait qu'un prêt à l'actionnaire constitue une prestation appréciable en argent. C'est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w:t>
      </w:r>
    </w:p>
    <w:p>
      <w:r>
        <w:t>- 10/13 - A/3252/2013 sont pas payés, mais qu'ils sont portés constamment en augmentation du compte d'emprunt et qu'il n'existe pas de convention écrite (ATF 138 II 57 consid. 3.2). 6)</w:t>
      </w:r>
    </w:p>
    <w:p>
      <w:r>
        <w:t>En matière de prêt simulé, les critères pour apprécier si des prêts à l'actionnaire équivalent à des prestations appréciables en argent ne peuvent pas être appliqués sans autre, cette question étant plus étroite que le problème général des prêts à l'actionnaire. Il ne suffit dès lors pas de mettre en évidence que le prêt en question n'aurait pas été octroyé entre tiers qui ne seraient pas proches ou alors seulement à d'autres conditions, mais il faut aussi démontrer que, sur la base de la relation particulière entre les proches, on ne peut pas (plus) compter sérieusement sur un remboursement de l'emprunt (ATF 138 II 57 consid. 5).</w:t>
      </w:r>
    </w:p>
    <w:p>
      <w:r>
        <w:t>Par conséquent, à teneur de la jurisprudence du Tribunal fédéral (ATF 138 II 57 consid. 5.1 à 5.3), les critères susmentionnés revêtent une importance différente. - À elle seule, l'absence d'une convention écrite ne s'avère que peu concluante, puisqu'elle peut reposer sur d'autres raisons qu'une intention de simulation.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 Pareillement, il y a lieu d'effectuer une distinction en rapport avec les situations de fortune respectives du prêteur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le prêteur n'est certainement pas en mesure d'octroyer des prêts au moyen de ses propres ressources, mais qu'il doit lui-même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par exemple dans un excédent de passifs de plusieurs millions de francs). 7)</w:t>
      </w:r>
    </w:p>
    <w:p>
      <w:r>
        <w:t>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w:t>
      </w:r>
    </w:p>
    <w:p>
      <w:r>
        <w:t>- 11/13 - A/3252/2013 violation de ses devoirs de collaboration (ATF 138 II 57 consid. 7.1 ; arrêts du Tribunal fédéral 2C_589/2013 et 2C_590/2013 du 17 janvier 2014 consid. 7.2 ; 2C_76/2009 du 23 juillet 2009 consid. 2.2 ; ATA/594/2015 précité consid. 6d ; ATA/780/2013 du 26 novembre 2013 consid. 6a). 8)</w:t>
      </w:r>
    </w:p>
    <w:p>
      <w:r>
        <w:t>En l'espèce, il ressort du dossier que le contribuable est actionnaire unique ainsi qu'administrateur-président de la société et qu'il a bénéficié d'un prêt de la part de celle-ci.</w:t>
      </w:r>
    </w:p>
    <w:p>
      <w:r>
        <w:t>Selon ses explications, il existait depuis longtemps un compte courant actionnaire qu'il remboursait régulièrement. Les intérêts étaient dûment calculés et comptabilisés, en fin d'année, dans les comptes de la société.</w:t>
      </w:r>
    </w:p>
    <w:p>
      <w:r>
        <w:t>La lecture du bilan 2009 permet en effet de constater qu'il existait en 2008 déjà un compte courant, portant intérêts, ceux-ci étant comptabilisés. Le montant du prêt était de CHF 63'409.90 au 31 décembre 2008.</w:t>
      </w:r>
    </w:p>
    <w:p>
      <w:r>
        <w:t>De 2008 à 2012, le solde de ce compte a augmenté puis diminué. En effet, conformément aux pièces produites, le contribuable a procédé à deux remboursements en 2011, soit CHF 30'000.- le 30 juin et CHF 5'000.- le 30 novembre.</w:t>
      </w:r>
    </w:p>
    <w:p>
      <w:r>
        <w:t>Il a ainsi amorti sa dette d'un montant non négligeable, avant même d'être informé par la recourante, le 30 octobre 2012, de l'ouverture à son encontre d'une procédure en rappel et soustraction d'impôt.</w:t>
      </w:r>
    </w:p>
    <w:p>
      <w:r>
        <w:t>Il apparaît ainsi que la volonté initiale du contribuable était de rembourser sa dette, intention qui n'apparaît pas avoir changé par la suite puisque le prêt a encore été amorti.</w:t>
      </w:r>
    </w:p>
    <w:p>
      <w:r>
        <w:t>Selon la jurisprudence, le fait que le but statutaire de la prêteuse ne comprenne pas l'octroi de crédits, ne permet pas de conclure nécessairement à une simulation. De même, l'absence d'une convention écrite ne s'avère que peu concluante, puisqu'elle peut reposer sur d'autres raisons qu'une intention de simulation. Cependant, les parties se sont par la suite conformées aux critiques émanant de la recourante en concluant un contrat de prêt en décembre 2012.</w:t>
      </w:r>
    </w:p>
    <w:p>
      <w:r>
        <w:t>La recourante semble avoir ainsi ignoré des éléments pertinents dans l'analyse faite de la situation. Elle n'a pas tenu compte du fait que la dette était dûment mentionnée dans les bilans de la société, ainsi que dans les déclarations fiscales des contribuables. Elle a ignoré les garanties prévues par le contrat de prêt, et n'a pas tenu compte, en déterminant la solvabilité de l'emprunteur, du fait que le remboursement s'échelonnait sur dix ans et qu'une partie de la dette avait déjà été amortie.</w:t>
      </w:r>
    </w:p>
    <w:p>
      <w:r>
        <w:t>- 12/13 - A/3252/2013</w:t>
      </w:r>
    </w:p>
    <w:p>
      <w:r>
        <w:t>Le prêt n'était ainsi pas particulièrement risqué pour la société, le montant de ce dernier étant d'ailleurs largement couvert par les actifs de celle-ci.</w:t>
      </w:r>
    </w:p>
    <w:p>
      <w:r>
        <w:t>La situation financière du contribuable ne saurait prêter le flanc à la critique. Propriétaire d'un appartement, il a offert à la société, en garantie du prêt, une priorité d'achat sur ce bien immobilier, dont la valeur, après déduction de la dette hypothécaire, couvre largement l'emprunt. De plus, et contrairement à ce que soutient la recourante, il n'apparaît pas invraisemblable, au vu des montants concernés, que les contribuables aient pu constituer de l'épargne et garder cet argent chez eux.</w:t>
      </w:r>
    </w:p>
    <w:p>
      <w:r>
        <w:t>Enfin, ces derniers ont expliqué que les intérêts n'étaient pas payés mais portés chaque année en augmentation du compte d'emprunt, si bien qu'il n'était pas pertinent d'apporter la preuve de ces paiements. Bien que ce procédé puisse constituer un indice en faveur de l'existence d'un prêt simulé, il n'est pas à lui seul suffisant pour le démontrer, en particulier dans le cas d'espèce. Les contribuables n'ont pas tenté de le dissimuler et la dette a été régulièrement amortie.</w:t>
      </w:r>
    </w:p>
    <w:p>
      <w:r>
        <w:t>La recourante, à qui il appartient de prouver l'existence d'un prêt simulé, n'a ainsi pas réussi à le démontrer. Pour ces motifs, il ne peut pas être retenu que le prêt litigieux serait constitutif d'un avantage appréciable en argent devant être pris en compte dans le calcul du revenu.</w:t>
      </w:r>
    </w:p>
    <w:p>
      <w:r>
        <w:t>Par conséquent, le recours sera rejeté. 9)</w:t>
      </w:r>
    </w:p>
    <w:p>
      <w:r>
        <w:t>Vu l'issue de la procédure, aucun émolument ne sera perçu (art. 87 al. 1 LPA).</w:t>
      </w:r>
    </w:p>
    <w:p>
      <w:r>
        <w:t>Une indemnité de procédure de CHF 1'500.- sera allouée aux contribuables,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