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ATA/904/2016 vom 25. Oktober 2016</w:t>
      </w:r>
    </w:p>
    <w:p>
      <w:r>
        <w:t>GE Cour de justice, 2016-10-25, FR</w:t>
      </w:r>
    </w:p>
    <w:p>
      <w:r>
        <w:rPr>
          <w:b/>
        </w:rPr>
        <w:t xml:space="preserve">Quelle: </w:t>
      </w:r>
      <w:r>
        <w:t>https://mcp.opencaselaw.ch/entscheid/ge_gerichte_ATA_904_2016</w:t>
      </w:r>
    </w:p>
    <w:p>
      <w:r>
        <w:t>FR: GE_GERICHTE ATA/904/2016 du 25 octobre 2016</w:t>
      </w:r>
    </w:p>
    <w:p>
      <w:r>
        <w:t>IT: GE_GERICHTE ATA/904/2016 del 25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rPr>
          <w:b/>
        </w:rPr>
        <w:t>E. 3</w:t>
      </w:r>
    </w:p>
    <w:p>
      <w:r>
        <w:t>a. Selon l’art. 27 al. 1 de la loi fédérale sur les étrangers du 16 décembre 2005 (LEtr - RS 142.20), une personne étrangère peut être autorisée à séjourner en Suisse pour y effectuer des études ou un perfectionnement aux conditions cumulatives suivantes : - la direction de l’établissement confirme qu’elle peut suivre la formation ou le perfectionnement envisagés (let. a) ; - elle dispose d’un logement approprié (let. b) ; - elle dispose des moyens financiers nécessaires (let. c) ; - elle a le niveau de formation et les qualifications personnelles requises pour suivre la formation ou le perfectionnement prévus (let. d).</w:t>
      </w:r>
    </w:p>
    <w:p>
      <w:r>
        <w:t>b. Aux termes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w:t>
      </w:r>
    </w:p>
    <w:p>
      <w:r>
        <w:t>- 5/9 - A/3881/2015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1er juin 2016, ch. 5.1.2 p. 196, dont la teneur était identique lors du prononcé de la décision attaquée).</w:t>
      </w:r>
    </w:p>
    <w:p>
      <w:r>
        <w:t>c.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(ATA/502/2016 du 14 juin 2016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w:t>
      </w:r>
    </w:p>
    <w:p>
      <w:r>
        <w:rPr>
          <w:b/>
        </w:rPr>
        <w:t>E. 4</w:t>
      </w:r>
    </w:p>
    <w:p>
      <w:r>
        <w:t>septembre 2012 consid. 7.2 ; ATA/531/2016 du 21 juin 2016 consid. 6e ; ATA/62/2015 du 13 janvier 2015 consid. 9).</w:t>
      </w:r>
    </w:p>
    <w:p>
      <w:r>
        <w:t>- 6/9 - A/3881/2015</w:t>
      </w:r>
    </w:p>
    <w:p>
      <w:r>
        <w:t>c. Les autorités compétentes tiennent compte, en exerçant leur pouvoir d'appréciation, des intérêts publics, de la situation personnelle de l'étranger, ainsi que de son degré d'intégration (art. 96 al. 1 LEtr).</w:t>
      </w:r>
    </w:p>
    <w:p>
      <w:r>
        <w:rPr>
          <w:b/>
        </w:rPr>
        <w:t>E. 5</w:t>
      </w:r>
    </w:p>
    <w:p>
      <w:r>
        <w:t>Dans sa jurisprudence constante, le Tribunal administratif fédéral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l'approche, la possession d'une formation complète antérieure (arrêts du TAF C-5718/2013 précité ; C-2291/2013 précité ; C-3143/2013 du</w:t>
      </w:r>
    </w:p>
    <w:p>
      <w:r>
        <w:rPr>
          <w:b/>
        </w:rPr>
        <w:t>E. 9</w:t>
      </w:r>
    </w:p>
    <w:p>
      <w:r>
        <w:t>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