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ATA/901/2025 vom 19. August 2025</w:t>
      </w:r>
    </w:p>
    <w:p>
      <w:r>
        <w:t>GE Cour de justice, 2025-08-19, FR</w:t>
      </w:r>
    </w:p>
    <w:p>
      <w:r>
        <w:rPr>
          <w:b/>
        </w:rPr>
        <w:t xml:space="preserve">Quelle: </w:t>
      </w:r>
      <w:r>
        <w:t>https://mcp.opencaselaw.ch/entscheid/ge_gerichte_ATA_901_2025</w:t>
      </w:r>
    </w:p>
    <w:p>
      <w:r>
        <w:t>FR: GE_GERICHTE ATA/901/2025 du 19 août 2025</w:t>
      </w:r>
    </w:p>
    <w:p>
      <w:r>
        <w:t>IT: GE_GERICHTE ATA/901/2025 del 19 agosto 2025</w:t>
      </w:r>
    </w:p>
    <w:p>
      <w:pPr>
        <w:pStyle w:val="Heading2"/>
      </w:pPr>
      <w:r>
        <w:t>Regeste</w:t>
      </w:r>
    </w:p>
    <w:p>
      <w:r>
        <w:t>Résumé: Confirmation d’un jugement du TAPI ayant confirmé le principe des amendes pour soustraction fiscale mais réduit la quotité fixée par l’AFC-GE à la hauteur des droits éludés, aux trois quarts des impôts éludés. La contribuable qui a omis de contrôler la comptabilité et la déclaration d’impôts établis par sa fiduciaire ne peut se décharger de sa responsabilité dans la mesure où il faut retenir qu’elle était à même de reconnaître les oublis potentiellement faits par son mandataire. En l’espèce, les oublis portent sur des droits de subsistance des employés et des tickets omis dans la comptabilité, postes qui figurent pourtant dans les deux dernières années de taxation examinées.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145 de la loi fédérale sur l’impôt fédéral direct du 14 décembre 1990 - LIFD - RS 642.11 ; art. 7 al. 2 loi de procédure fiscale du</w:t>
      </w:r>
    </w:p>
    <w:p>
      <w:r>
        <w:rPr>
          <w:b/>
        </w:rPr>
        <w:t>E. 4</w:t>
      </w:r>
    </w:p>
    <w:p>
      <w:r>
        <w:t>La recourante conteste le principe même des amendes en l’absence de faute de sa part.</w:t>
      </w:r>
    </w:p>
    <w:p>
      <w:r>
        <w:rPr>
          <w:b/>
        </w:rPr>
        <w:t>E. 4.1</w:t>
      </w:r>
    </w:p>
    <w:p>
      <w:r>
        <w:t>Le contribuable qui, intentionnellement ou par négligence, fait en sorte qu'une taxation ne soit pas effectuée alors qu'elle devrait l'être, ou qu'une taxation entrée en force soit incomplète, est puni d'une amende (art. 175 al. 1 LIFD ; art. 56 al. 1 LHID ; art. 69 al. 1 LPFisc).</w:t>
      </w:r>
    </w:p>
    <w:p>
      <w:r>
        <w:rPr>
          <w:b/>
        </w:rPr>
        <w:t>E. 4.2</w:t>
      </w:r>
    </w:p>
    <w:p>
      <w:r>
        <w:t>Pour qu'une soustraction fiscale soit réalisée, trois éléments doivent dès lors être réunis : la soustraction d'un montant d'impôts, la violation d'une obligation légale incombant au société et la faute de ce dernier. Les deux premières conditions sont des éléments constitutifs objectifs de la soustraction fiscale, tandis que la faute en est un élément constitutif subjectif (arrêts du Tribunal fédéral 2C_41/2020 du 24 juin 2020 consid. 9.1 et 11 ; 2C_874/2018 du 17 avril 2019 consid. 10.1 ; ATA/1183/2023 précité consid. 7.1 et l'arrêt cité).</w:t>
      </w:r>
    </w:p>
    <w:p>
      <w:r>
        <w:rPr>
          <w:b/>
        </w:rPr>
        <w:t>E. 4.3</w:t>
      </w:r>
    </w:p>
    <w:p>
      <w:r>
        <w:t>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 et les références citées).</w:t>
      </w:r>
    </w:p>
    <w:p>
      <w:r>
        <w:rPr>
          <w:b/>
        </w:rPr>
        <w:t>E. 4.4</w:t>
      </w:r>
    </w:p>
    <w:p>
      <w:r>
        <w:t>La soustraction est punissable aussi bien intentionnellement que par négligence. La notion de négligence des art. 175 LIFD et 56 LHID est identique à celle de</w:t>
      </w:r>
    </w:p>
    <w:p>
      <w:r>
        <w:t>- 7/11 - A/670/2024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du 24 septembre 2018 consid. 9.1 et les références citées).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du 31 mai 2019 consid. 9.2) : il suppose que l'auteur envisage le résultat dommageable, mais agit néanmoins, parce qu'il s'en accommode au cas où il se produirait (arrêt du Tribunal fédéral 2C_1073/2018 du 20 décembre 2019 consid. 17.3.1 et les arrêts cités). En revanche, agit par négligence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 ; 2C_1018/2015 précité consid. 9.4.4).</w:t>
      </w:r>
    </w:p>
    <w:p>
      <w:r>
        <w:rPr>
          <w:b/>
        </w:rPr>
        <w:t>E. 4.5</w:t>
      </w:r>
    </w:p>
    <w:p>
      <w:r>
        <w:t>Lorsqu'il mandate une fiduciaire pour remplir sa déclaration d'impôts,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(arrêts du Tribunal fédéral 9C_762/2023 du 26 juin 2024 consid. 10.2 ; 2C_908/2011 du 23 avril 2012 consid. 3.5 et les références, in RDAF 2012 II 324 ; ATA/1183/2023 du 31 octobre 2023 consid. 7.3). Lorsqu'un contribuable signe sa déclaration fiscale, conformément à l'art. 124 al. 2 LIFD, il endosse la responsabilité de la véracité des indications qui s'y</w:t>
      </w:r>
    </w:p>
    <w:p>
      <w:r>
        <w:t>- 8/11 - A/670/2024 trouvent ; il répond ainsi lui‑même des infractions fiscales commises si une faute lui est imputable. Il ne faut pas que le contribuable qui se fait représenter soit favorisé par rapport à celui qui remplit sa déclaration fiscale lui-même, par la possibilité de se soustraire à sa responsabilité en se retranchant derrière son représentant pour des fautes qui lui sont imputables. Pour retenir l'intention, à tout le moins par dol éventuel, il faut toutefois que la société ait pu reconnaître le caractère erroné de la déclaration fiscale s'il avait agi avec la diligence requise et qu'il ait ainsi été en mesure de la faire corriger (arrêt du Tribunal fédéral 2C_78/2019 du 20 septembre 2019 consid. 3 et les références, in RF 75/2020 p. 71).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(ATA/1262/2015 précité consid. 7c ; ATA/370/2015 précité consid. 6c ; ATA/798/2014 du 14 octobre 2014 et les références citées).</w:t>
      </w:r>
    </w:p>
    <w:p>
      <w:r>
        <w:rPr>
          <w:b/>
        </w:rPr>
        <w:t>E. 4.6</w:t>
      </w:r>
    </w:p>
    <w:p>
      <w:r>
        <w:t>En l’espèce, la recourante ne conteste pas que les déclarations d’impôts étaient erronées, mais invoque son absence de compétences et de connaissances en matière comptable et fiscale. Elle s’en était remise au professionnel mandaté pour s’occuper du volet administratif de son entreprise. Or, même sans être au bénéfice d’une formation particulière en fiscalité ou en comptabilité, les organes de la recourante – qui acquiert, gère et exploite des établissements publics – disposaient des capacités suffisantes pour se rendre compte des conséquences de l’absence d’enregistrement de certains revenus dans ses comptes. Ses organes ne pouvaient notamment ignorer que les repas et autres marchandises prélevées par ses employés pour leur propre consommation devaient être comptabilisés dans son chiffre d’affaires. Ce résultat serait identique s’il était établi qu’elle avait remis à sa fiduciaire l’entier des tickets et droits de subsistance des employés omis dans la comptabilité. En effet, il ne s’agit pas d’une comptabilité complexe, ni de comptabilisation de détails ou de montants négligeables, quoiqu’en dise la recourante qui ne peut être suivie dans cette appréciation. Les montants sont suffisamment importants pour que, pour les années fiscales 2016, 2017 et 2018, un bénéfice net imposable soit constaté au lieu d’une perte, entraînant une taxation pour ces années. En outre, pour les années 2018 et 2019, les comptes font état d’un poste « repas du personnel » et « parts privées gérants nourriture ». Aucune explication n’est d’ailleurs fournie à cet égard, hormis l’absence de contrôle des comptes établis par la fiduciaire. Le même raisonnement est applicable au report des pertes diminuant le bénéfice déclaré pour l’année 2019. Il faut donc retenir que si la recourante avait contrôlé la comptabilité comme cela lui incombait, elle aurait pu s’apercevoir des omissions et erreurs en cause. Ainsi,</w:t>
      </w:r>
    </w:p>
    <w:p>
      <w:r>
        <w:t>- 9/11 - A/670/2024 conformément à la jurisprudence précitée, elle ne peut se décharger de sa responsabilité, dans la mesure où il faut retenir qu’elle était à même de reconnaître les oublis potentiellement faits par son mandataire, comme l’ont d’ailleurs retenu à juste titre l’AFC-GE et le TAPI. La preuve d'un comportement intentionnel, à tout le moins sous la forme du dol éventuel, doit ainsi être considérée comme apportée.</w:t>
      </w:r>
    </w:p>
    <w:p>
      <w:r>
        <w:rPr>
          <w:b/>
        </w:rPr>
        <w:t>E. 5</w:t>
      </w:r>
    </w:p>
    <w:p>
      <w:r>
        <w:t>Reste à examiner la quotité des amendes.</w:t>
      </w:r>
    </w:p>
    <w:p>
      <w:r>
        <w:rPr>
          <w:b/>
        </w:rPr>
        <w:t>E. 5.1</w:t>
      </w:r>
    </w:p>
    <w:p>
      <w:r>
        <w:t>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En présence d'une infraction intentionnelle sans circonstances particulières, l'amende équivaut en principe au montant de l'impôt soustrait (arrêt du Tribunal fédéral 2C_41/2020 du 24 juin 2020 consid. 9.1). 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ATA/376/2024 du 12 mars 2024 consid. 6.3 et l'arrêt cité).</w:t>
      </w:r>
    </w:p>
    <w:p>
      <w:r>
        <w:rPr>
          <w:b/>
        </w:rPr>
        <w:t>E. 5.2</w:t>
      </w:r>
    </w:p>
    <w:p>
      <w:r>
        <w:t>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5.3</w:t>
      </w:r>
    </w:p>
    <w:p>
      <w:r>
        <w:t>Une décision viole le principe d'égalité consacré à l'art. 8 al. 1 Cst. lorsqu'elle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w:t>
      </w:r>
    </w:p>
    <w:p>
      <w:r>
        <w:t>- 10/11 - A/670/2024 (ATF 146 II 56 consid. 9.1 ; 144 I 113 consid. 5.1.1 ; arrêt du Tribunal fédéral 2C_555/2023 du 5 avril 2024 consid. 6.1).</w:t>
      </w:r>
    </w:p>
    <w:p>
      <w:r>
        <w:rPr>
          <w:b/>
        </w:rPr>
        <w:t>E. 5.4</w:t>
      </w:r>
    </w:p>
    <w:p>
      <w:r>
        <w:t>En l’espèce, l’AFC-GE a fixé la quotité des amendes à hauteur des montants d’impôt éludés et le TAPI l'a ramenée aux trois quarts dudit montant, prenant en compte le fait que les sommes non déclarées demeuraient relativement marginales en regard du chiffre d’affaires de la recourante, tout comme l’impôt soustrait. Les manquements résultaient d’une absence de contrôle de l’activité de la fiduciaire et non d’une intention délibérée de tromper les autorités fiscales. L’amende pour 2019 résultait d’ailleurs uniquement de l’imputation de pertes excessives reportées. La recourante n’avait pas refusé de collaborer et sa situation n’apparaissait pas particulièrement favorable. Devant la chambre de céans, la recourante ne fait pas valoir de circonstance supplémentaire qui n’aurait pas été prise en compte dans l’analyse faite par le TAPI pour diminuer la quotité de l’amende, fondant son analyse uniquement sur l’absence de faute intentionnelle, ainsi que sa situation économique qu’elle invoque sans toutefois apporter d’élément supplémentaire à ce sujet. En conséquence, les amendes réduites infligées sont justifiées tant dans leur principe que dans leur quotité et doivent être confirmées. Mal fondé, le recours sera rejeté.</w:t>
      </w:r>
    </w:p>
    <w:p>
      <w:r>
        <w:rPr>
          <w:b/>
        </w:rPr>
        <w:t>E. 6</w:t>
      </w:r>
    </w:p>
    <w:p>
      <w:r>
        <w:t>Vu l’issue du litige, un émolument de CHF 1'000.- sera mis à la charge de la recourante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