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ATA/901/2020 vom 22. September 2020</w:t>
      </w:r>
    </w:p>
    <w:p>
      <w:r>
        <w:t>GE Cour de justice, 2020-09-22, FR</w:t>
      </w:r>
    </w:p>
    <w:p>
      <w:r>
        <w:rPr>
          <w:b/>
        </w:rPr>
        <w:t xml:space="preserve">Quelle: </w:t>
      </w:r>
      <w:r>
        <w:t>https://mcp.opencaselaw.ch/entscheid/ge_gerichte_ATA_901_2020</w:t>
      </w:r>
    </w:p>
    <w:p>
      <w:r>
        <w:t>FR: GE_GERICHTE ATA/901/2020 du 22 septembre 2020</w:t>
      </w:r>
    </w:p>
    <w:p>
      <w:r>
        <w:t>IT: GE_GERICHTE ATA/901/2020 del 22 settembre 2020</w:t>
      </w:r>
    </w:p>
    <w:p>
      <w:pPr>
        <w:pStyle w:val="Heading2"/>
      </w:pPr>
      <w:r>
        <w:t>Regeste</w:t>
      </w:r>
    </w:p>
    <w:p>
      <w:r>
        <w:t>Résumé: Absence d’intérêt actuel à recourir à la suite de l’abrogation de la disposition légale sur laquelle se fondait la décision litigieuse. Recours sans objet et radiation de la cause du rôle.</w:t>
      </w:r>
    </w:p>
    <w:p>
      <w:pPr>
        <w:pStyle w:val="Heading2"/>
      </w:pPr>
      <w:r>
        <w:t>Erwägungen</w:t>
      </w:r>
    </w:p>
    <w:p>
      <w:r>
        <w:rPr>
          <w:b/>
        </w:rPr>
        <w:t>E. 26</w:t>
      </w:r>
    </w:p>
    <w:p>
      <w:r>
        <w:t>septembre 2010 - LOJ - E 2 05 ; art. 62 al. 1 let. a de la loi sur la procédure administrative du 12 septembre 1985 - LPA - E 5 10), comme l’a confirmé le Tribunal fédéral, la question étant en l’état de savoir si la cause a encore un objet.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(ATA/805/2020 du 25 août 2020 consid. 2b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disparaît durant la procédure, le recours, devenu sans objet, doit être simplement radié du rôle ou déclaré irrecevable (ATF 142 I 135 consid. 1.3.1). La simple perspective d’un intérêt juridique futur ne suffit pas à fonder un intérêt actuel (ATA/629/2020 du 30 juin 2020 consid. 5a).</w:t>
      </w:r>
    </w:p>
    <w:p>
      <w:r>
        <w:t>c. Un intérêt actuel et pratique fait en particulier défaut lorsque l’acte de l’autorité a été exécuté ou a perdu son objet ou encore lorsque l’admission du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w:t>
      </w:r>
    </w:p>
    <w:p>
      <w:r>
        <w:t>d. 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w:t>
      </w:r>
    </w:p>
    <w:p>
      <w:r>
        <w:t>- 10/13 - A/4491/2016 3)</w:t>
      </w:r>
    </w:p>
    <w:p>
      <w:r>
        <w:t>En l’espèce, à la suite de l’entrée en vigueur de l’art. 59 LIP, l’intimé a procédé à l’adaptation du cahier des charges des directeurs d’établissement, dont celui du recourant, en y ajoutant qu’ils devaient s’acquitter, à raison d’une à deux périodes par semaine, de missions d’enseignement et d’actions pédagogiques face aux élèves, ces tâches ayant pris effet à la rentrée de janvier 2017, conformément à la décision du 21 décembre 2016, contre laquelle M. A______ a recouru, concluant à son annulation. Entrée en vigueur le 4 juillet 2020, la loi 12'315 a toutefois abrogé l’art. 59 LIP, sur laquelle le cahier des charges litigieux se fonde, l’intimé ayant expliqué que les directeurs d’établissement n’étaient plus tenus audites missions et actions pédagogiques à compter de cette date et précisé que leur cahier des charges était en cours de modification.</w:t>
      </w:r>
    </w:p>
    <w:p>
      <w:r>
        <w:t>Dans la mesure où le recourant a obtenu, par ce biais, ce qu’il demandait dans le cadre de son recours, il ne dispose plus d’un intérêt actuel à recourir, étant précisé qu’il n’a pris aucune conclusion spécifique autre que l’annulation de la décision contestée s’agissant de la période pendant laquelle il a mis en œuvre l’art. 59 LIP. Le fait que l’intimé n’ait pas formellement révoqué le cahier des charges litigieux n’y change rien, dès lors que celui-ci, ne reposant sur aucune disposition légale à compter de l’abrogation de l’art. 59 LIP, est devenu caduc.</w:t>
      </w:r>
    </w:p>
    <w:p>
      <w:r>
        <w:t>Il ne saurait, en outre, être renoncé à l’exigence d’un intérêt actuel, puisqu’à défaut de base légale correspondante, la situation ne saurait se reproduire et que, comme précédemment relevé, en l’absence de conclusions spécifiques, il n’existe aucun intérêt public à ce que la chambre de céans se prononcer sur la conformité de la décision litigieuse au droit lors de sa période d’application.</w:t>
      </w:r>
    </w:p>
    <w:p>
      <w:r>
        <w:t>Il appert ainsi que l’intérêt digne de protection du recourant fait défaut, de sorte que son recours est devenu sans objet, ce qui conduit à rayer la cause du rôle. 4) a. La juridiction administrative statue sur les frais de procédure, indemnités et émoluments dans les limites établies par le règlement du Conseil d’État et conformément au principe de la proportionnalité (art. 87 al. 1 et 3 LPA ; ATA/633/2020 du 30 juin 2020 consid. 2 et la référence citée). Elle peut, sur requête, allouer à la partie ayant eu entièrement ou partiellement gain de cause une indemnité pour les frais indispensables causés par le recours (art. 87 al. 2 LPA).</w:t>
      </w:r>
    </w:p>
    <w:p>
      <w:r>
        <w:t>b.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- 11/13 - A/4491/2016</w:t>
      </w:r>
    </w:p>
    <w:p>
      <w:r>
        <w:t>La juridiction saisie dispose d’un large pouvoir d’appréciation quant à la quotité de l’indemnité allouée et, de jurisprudence constante, celle-ci ne constitue qu’une participation aux honoraires d’avocat (ATA/450/2020 du 7 mai 2020 consid. 3b et les références citées), ce qui résulte aussi, implicitement, de l’art. 6 RFPA, qui plafonne l’indemnité à CHF 10'000.-. Enfin, la garantie de la propriété n’impose nullement une pleine compensation du coût de la défense de la partie victorieuse (arrêt du Tribunal fédéral 1C_58/2019 du 31 décembre 2019 consid. 3.4).</w:t>
      </w:r>
    </w:p>
    <w:p>
      <w:r>
        <w:t>c. 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(arrêt du Tribunal fédéral 1C_58/2019 du 31 décembre 2019 consid. 3.4 ; ATA/465/2020 du 7 mai 2020 consid. 2b et les références citées). La fixation des dépens implique une appréciation consciencieuse des critères qui découlent de l’esprit et du but de la réglementation légale (arrêt du Tribunal fédéral 2D_35/2016 du 21 avril 2017 consid. 6.2).</w:t>
      </w:r>
    </w:p>
    <w:p>
      <w:r>
        <w:t>d. En l’espèce, le Tribunal fédéral ayant donné gain de cause au recourant, celui-ci a droit à l’octroi d’une indemnité de procédure. Il a chiffré celle-ci à CHF 11'146.95 pour l’ensemble de la procédure devant la chambre de céans, perdant ainsi de vue que, de jurisprudence constante, ladite indemnité ne constitue qu’une participation aux honoraires d’avocat. Celle-ci sera fixée à CHF 2'000.-. Ce montant tient compte des diverses écritures du recourant, dont l’acte de recours par lequel il a repris les arguments précédemment développés par ses mandataires devant la chambre constitutionnelle dans le cadre du contrôle abstrait de l’art. 59 LIP ayant donné lieu à l’ACST/6/2016, ainsi que de la tenue d’une audience de plaidoiries et d’une autre de comparution personnelle des parties. Il sera en outre précisé que le recourant a obtenu gain de cause du fait de l’abrogation, par le Grand Conseil, de l’art. 59 LIP, ce qui a rendu le présent recours sans objet. Il ne se justifie pas non plus d’octroyer une indemnité d’un montant supérieur, au regard des trois causes « pilote » tranchées, dont l’objet est strictement identique.</w:t>
      </w:r>
    </w:p>
    <w:p>
      <w:r>
        <w:t>Par ailleurs, étant donné que le Tribunal fédéral a donné gain de cause au recourant dans la procédure 8D_3/2018, aucun émolument ne sera mis à sa charge pour la procédure devant la chambre de céans, y compris pour le présent arrêt, conformément à sa pratique (ATA/1528/2019 du 15 octobre 2019 consid. 5 et les références citées).</w:t>
      </w:r>
    </w:p>
    <w:p>
      <w:r>
        <w:t>* * * * *</w:t>
      </w:r>
    </w:p>
    <w:p>
      <w:r>
        <w:t>- 12/13 - A/4491/2016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