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ATA/901/2010 vom 21. Dezember 2010</w:t>
      </w:r>
    </w:p>
    <w:p>
      <w:r>
        <w:t>GE Cour de justice, 2010-12-21, FR</w:t>
      </w:r>
    </w:p>
    <w:p>
      <w:r>
        <w:rPr>
          <w:b/>
        </w:rPr>
        <w:t xml:space="preserve">Quelle: </w:t>
      </w:r>
      <w:r>
        <w:t>https://mcp.opencaselaw.ch/entscheid/ge_gerichte_ATA_901_2010</w:t>
      </w:r>
    </w:p>
    <w:p>
      <w:r>
        <w:t>FR: GE_GERICHTE ATA/901/2010 du 21 décembre 2010</w:t>
      </w:r>
    </w:p>
    <w:p>
      <w:r>
        <w:t>IT: GE_GERICHTE ATA/901/2010 del 21 dicembre 2010</w:t>
      </w:r>
    </w:p>
    <w:p>
      <w:pPr>
        <w:pStyle w:val="Heading2"/>
      </w:pPr>
      <w:r>
        <w:t>Regeste</w:t>
      </w:r>
    </w:p>
    <w:p>
      <w:r>
        <w:t>Résumé: La décision de la commission du barreau (commission) prononçant un blâme à l'encontre d'un avocat étant apparu dans trois articles de presse - dont l'un ne concernait pas une affaire juridique en cours - doit être annulée. L'apparition de l'avocat dans les journaux avait certes un caractère publicitaire important. Cependant dans de nombreuses publications avec photographies ou émissions télévisées, des avocats ont été cités avec leur titre, alors même que l'information était sans relation avec l'exercice d'un mandat, et n'ont pas fait l'objet d'un blâme. La commission n'a ainsi pas adopté une pratique restrictive constante en matière de publicité et ne prétend d'ailleurs pas en entamer une avec le cas d'espèce. Dans ces circonstances, les articles de presse incriminés ne constituaient pas une publicité excessive au sens de la LLCA.</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a. L’exercice de la profession d’avocat est régie par la LLCA, qui définit dans sa section 3 intitulée « Règles professionnelles et surveillance disciplinaire », plus particulièrement à l’art. 12 LLCA, les règles professionnelles applicables aux avocats.</w:t>
      </w:r>
    </w:p>
    <w:p>
      <w:r>
        <w:t>b. Cette législation énumère les règles en question de manière exhaustive (voir Message du Conseil fédéral concernant la loi fédérale sur la libre circulation</w:t>
      </w:r>
    </w:p>
    <w:p>
      <w:r>
        <w:t>- 6/10 - A/3645/2009 des avocats du 28 avril 1999 [ci-après : Message], FF 1999 VI p. 5331 ss, spéc. p. 5372/5373). En la matière, il n’y a donc plus de place pour le droit cantonal : les cantons ne peuvent prévoir d’autres règles professionnelles ni d’autres sanctions. Le législateur a ainsi voulu clairement délimiter les règles professionnelles des règles déontologiques et ce pour l’ensemble de la Suisse, de manière à faciliter la libre circulation des avocats (Message, p. 5368).</w:t>
      </w:r>
    </w:p>
    <w:p>
      <w:r>
        <w:t>c. Les règles déontologiques (notamment le code suisse de déontologie de la Fédération suisse des avocats, adopté le 10 juin 2005, ou les us et coutumes du Barreau de Genève) conservent une portée juridique, dans la mesure où elles peuvent aider à interpréter et à préciser les règles professionnelles. Elles ne sauraient toutefois servir de références que si elles expriment une opinion largement répandue au plan national et ne peuvent, en tant que telles, fonder des sanctions disciplinaires au sens de la loi fédérale sur les avocats. Les dispositions de la LLCA doivent d’abord chercher à s’appliquer de manière autonome. La formulation ouverte de l’art. 12 let. a LLCA ne doit pas conduire à ce que des coutumes et usages d’un des ordres cantonaux deviennent partie intégrante des obligations auxquelles se soumet l’ensemble de la profession ; il ne se justifie pas non plus d’admettre d’emblée une limitation du champ d’application de l’article 12 lettre a LLCA (ATF 130 II 270 consid. 3.2 ; Arrêts du Tribunal fédéral 2P.194/2004 du 23 mars 2005 consid. 3.2 ; 2A.191/2003 du 22 janvier 2004 consid. 5.3 ; ATA 97/2007 du 6 mars 2007 ; ATA/404/2006 du 26 juillet 2006).</w:t>
      </w:r>
    </w:p>
    <w:p>
      <w:r>
        <w:rPr>
          <w:b/>
        </w:rPr>
        <w:t>E. 3</w:t>
      </w:r>
    </w:p>
    <w:p>
      <w:r>
        <w:t>A Genève, la commission du barreau est compétente pour statuer sur tous manquement aux devoirs professionnels des avocats (art. 14 et 43 al. 1 LPAv).</w:t>
      </w:r>
    </w:p>
    <w:p>
      <w:r>
        <w:rPr>
          <w:b/>
        </w:rPr>
        <w:t>E. 4</w:t>
      </w:r>
    </w:p>
    <w:p>
      <w:r>
        <w:t>Aux termes de l’art. 12 let. a LLCA, l’avocat exerce sa profession avec soin et diligence. Cette disposition régit également les rapports des avocats entre eux : le fait que l’avocat observe certaines règles non seulement dans ses rapports avec ses clients, mais aussi à l’égard des autorités, de ses confrères et du public, est en effet nécessaire à une bonne administration de la justice et présente également un intérêt public (Arrêt du Tribunal fédéral 2A.191/2003 du 22 janvier 2004 consid.</w:t>
      </w:r>
    </w:p>
    <w:p>
      <w:r>
        <w:rPr>
          <w:b/>
        </w:rPr>
        <w:t>E. 5</w:t>
      </w:r>
    </w:p>
    <w:p>
      <w:r>
        <w:t>Enfin, la commission reproche au recourant un refus de produire devant elle la procuration le mandatant et un déni de la réalité concernant la photo prise en son étude, sous le seul angle du manque de respect à son égard.</w:t>
      </w:r>
    </w:p>
    <w:p>
      <w:r>
        <w:t>Sur le premier point, la commission n’a pas retenu que l’avocat aurait agi sans mandat, ni qu’il aurait violé son secret professionnel en brandissant le document visible mais non lisible sur la photo en cause. Dès lors, la production de l’original de la procuration s’avérait sans pertinence.</w:t>
      </w:r>
    </w:p>
    <w:p>
      <w:r>
        <w:t>Quant au second point, le recourant s’en est expliqué dans ses écritures, sans être contredit par la commission, qui a renoncé à formuler des observations et ne s’est pas présentée à l’audience de comparution personnelle à laquelle elle était convoquée en tant que partie, à l’instar de toute autorité administrative.</w:t>
      </w:r>
    </w:p>
    <w:p>
      <w:r>
        <w:t>- 9/10 - A/3645/2009</w:t>
      </w:r>
    </w:p>
    <w:p>
      <w:r>
        <w:t>Même si le ton des échanges épistolaires est parfois vif, il ne suffit pas à justifier une sanction pour manque de respect envers la commission.</w:t>
      </w:r>
    </w:p>
    <w:p>
      <w:r>
        <w:rPr>
          <w:b/>
        </w:rPr>
        <w:t>E. 6</w:t>
      </w:r>
    </w:p>
    <w:p>
      <w:r>
        <w:t>Au vu de ce qui précède, le recours sera admis. La décision querellée sera annulée.</w:t>
      </w:r>
    </w:p>
    <w:p>
      <w:r>
        <w:t>Vu l’issue du litige, un émolument de CHF 1'000.- sera mis à la charge de la commission qui succombe. Aucune indemnité ne sera allouée, le recourant n’ayant pas pris de conclusions dans ce sens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