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ATA/900/2015 vom 1. September 2015</w:t>
      </w:r>
    </w:p>
    <w:p>
      <w:r>
        <w:t>GE Cour de justice, 2015-09-01, FR</w:t>
      </w:r>
    </w:p>
    <w:p>
      <w:r>
        <w:rPr>
          <w:b/>
        </w:rPr>
        <w:t xml:space="preserve">Quelle: </w:t>
      </w:r>
      <w:r>
        <w:t>https://mcp.opencaselaw.ch/entscheid/ge_gerichte_ATA_900_2015</w:t>
      </w:r>
    </w:p>
    <w:p>
      <w:r>
        <w:t>FR: GE_GERICHTE ATA/900/2015 du 1 septembre 2015</w:t>
      </w:r>
    </w:p>
    <w:p>
      <w:r>
        <w:t>IT: GE_GERICHTE ATA/900/2015 del 1 settembre 2015</w:t>
      </w:r>
    </w:p>
    <w:p>
      <w:pPr>
        <w:pStyle w:val="Heading2"/>
      </w:pPr>
      <w:r>
        <w:t>Erwägungen</w:t>
      </w:r>
    </w:p>
    <w:p>
      <w:r>
        <w:rPr>
          <w:b/>
        </w:rPr>
        <w:t>E. 12</w:t>
      </w:r>
    </w:p>
    <w:p>
      <w:r>
        <w:t>septembre 1985 - LPA - E 5 10). 2) a. À teneur de l'art. 60 al. 1 let. b LPA, ont qualité pour recourir toutes les personnes qui sont touchées directement par une décision et ont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 3 ; Hansjörg SEILER, Handkommentar zum Bundesgerichtsgesetz [BGG], Berne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ss ; arrêt du Tribunal fédéral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6B.34/2009 du 20 avril 2009 consid. 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1C.133/2009 précité).</w:t>
      </w:r>
    </w:p>
    <w:p>
      <w:r>
        <w:t>- 4/6 - A/1537/2015</w:t>
      </w:r>
    </w:p>
    <w:p>
      <w:r>
        <w:t>e. Quand bien même le recourant a exécuté la mesure contestée, la situation pourrait se présenter à nouveau, dans la mesure où ce dernier se trouve encore à Champ-Dollon. Dès lors, la chambre administrative renoncera à l'exigence de l'intérêt actuel pour statuer (ATA/188/2011 du 22 mars 2011 ; ATA/266/2009 du 26 mai 2009). 3)</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faire du bruit et de troubler l’ordre et la tranquillité de la prison (art. 45 let. a et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l’art. 47 al. 3 RRIP, le directeur de la prison est compétent pour prononcer les sanctions suivantes : a) suppression de visite pour 15 jours au plus; b) suppression des promenades collectives; c) suppression d’achat pour 15 jours au plus; d) suppression de l’usage des moyens audiovisuels pour 15 jours au plus; e) privation de travail; f) placement en cellule forte pour 10 jours au plus. 4)</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w:t>
      </w:r>
    </w:p>
    <w:p>
      <w:r>
        <w:t>- 5/6 - A/1537/2015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5)</w:t>
      </w:r>
    </w:p>
    <w:p>
      <w:r>
        <w:t>En l'espèce, le recourant conteste implicitement la sanction qui lui a été infligée, et indique principalement ne pas vouloir changer de cellule.</w:t>
      </w:r>
    </w:p>
    <w:p>
      <w:r>
        <w:t>a. Le choix de la cellule affectée à un détenu n’est pas de la compétence de la chambre administrative, mais constitue un élément ressortissant à la pure organisation interne de la prison. L’obligation de changer de cellule n’est dès lors pas une sanction disciplinaire et ne figure pas à l’art. 47 al. 3 RRIP.</w:t>
      </w:r>
    </w:p>
    <w:p>
      <w:r>
        <w:t>En conséquence, cette conclusion est irrecevable.</w:t>
      </w:r>
    </w:p>
    <w:p>
      <w:r>
        <w:t>b. Aucun élément du dossier ne permet de remettre en cause le rapport établi par le gardien. Le recourant se limite à indiquer qu’il n’a rien fait de mal ni touché personne, sans donner plus d’explication sur l’incident. On ne voit pas ce qui aurait amené les gardiens à mentionner des faits s’ils n’étaient pas avérés. Dès lors, le principe de la sanction, de même que sa quotité, qui respecte le principe de la proportionnalité, sera confirmé. 6)</w:t>
      </w:r>
    </w:p>
    <w:p>
      <w:r>
        <w:t>Compte tenu de ce qui précède, le recours sera rejeté dans la mesure où il est recevable.</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 *****</w:t>
      </w:r>
    </w:p>
    <w:p>
      <w:r>
        <w:t>- 6/6 - A/1537/2015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