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ATA/8/2014 vom 7. Januar 2014</w:t>
      </w:r>
    </w:p>
    <w:p>
      <w:r>
        <w:t>GE Cour de justice, 2014-01-07, FR</w:t>
      </w:r>
    </w:p>
    <w:p>
      <w:r>
        <w:rPr>
          <w:b/>
        </w:rPr>
        <w:t xml:space="preserve">Quelle: </w:t>
      </w:r>
      <w:r>
        <w:t>https://mcp.opencaselaw.ch/entscheid/ge_gerichte_ATA_8_2014</w:t>
      </w:r>
    </w:p>
    <w:p>
      <w:r>
        <w:t>FR: GE_GERICHTE ATA/8/2014 du 7 janvier 2014</w:t>
      </w:r>
    </w:p>
    <w:p>
      <w:r>
        <w:t>IT: GE_GERICHTE ATA/8/2014 del 7 gennaio 2014</w:t>
      </w:r>
    </w:p>
    <w:p>
      <w:pPr>
        <w:pStyle w:val="Heading2"/>
      </w:pPr>
      <w:r>
        <w:t>Regeste</w:t>
      </w:r>
    </w:p>
    <w:p>
      <w:r>
        <w:t>Résumé: L'excédent d'intérêts passifs liées au bien immobilier des recourants sis en France ne peut pas être pris en considération pour la détermination du revenu net, mais uniquement pour celle du taux de l'impôt.</w:t>
      </w:r>
    </w:p>
    <w:p>
      <w:pPr>
        <w:pStyle w:val="Heading2"/>
      </w:pPr>
      <w:r>
        <w:t>Erwägungen</w:t>
      </w:r>
    </w:p>
    <w:p>
      <w:r>
        <w:rPr>
          <w:b/>
        </w:rPr>
        <w:t>E. 12</w:t>
      </w:r>
    </w:p>
    <w:p>
      <w:r>
        <w:t>septembre 1985 - LPA - E 5 10). 2)</w:t>
      </w:r>
    </w:p>
    <w:p>
      <w:r>
        <w:t>Le litige porte sur la prise en compte d’un excédent d’intérêts passifs à hauteur de CHF 32'168.-, attribué à un immeuble sis en France, pour la base imposable et non seulement pour la détermination du taux d’imposition des taxations ICC et IFD 2010 des recourants.</w:t>
      </w:r>
    </w:p>
    <w:p>
      <w:r>
        <w:t>- 5/9 - A/1065/2012</w:t>
      </w:r>
    </w:p>
    <w:p>
      <w:r>
        <w:t>Impôt fédéral direct 3)</w:t>
      </w:r>
    </w:p>
    <w:p>
      <w:r>
        <w:t>L'art. 6 de la loi fédérale sur l’impôt fédéral direct du 14 décembre 1990 (LIFD - RS 642.11), en vigueur depuis 1995, a la teneur suivante :</w:t>
      </w:r>
    </w:p>
    <w:p>
      <w:r>
        <w:t>1 L’assujettissement fondé sur un rattachement personnel est illimité ; il ne s’étend toutefois pas aux entreprises, aux établissements stables et aux immeubles situés à l’étranger.</w:t>
      </w:r>
    </w:p>
    <w:p>
      <w:r>
        <w:t>2 L’assujettissement fondé sur un rattachement économique est limité aux parties du revenu qui sont imposables en Suisse selon les art. 4 et 5. Au moins le revenu acquis en Suisse doit être imposé.</w:t>
      </w:r>
    </w:p>
    <w:p>
      <w:r>
        <w:t>3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t>4 Les personnes imposables conformément à l’art. 3 al. 5 doivent l’impôt sur leurs revenus qui sont exonérés des impôts sur le revenu à l’étranger en vertu de conventions internationales ou de l’usage. 4)</w:t>
      </w:r>
    </w:p>
    <w:p>
      <w:r>
        <w:t>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(y compris ceux des exploitations agricoles ou forestières) sont imposables dans l’Etat contractant où ces biens sont situés.</w:t>
      </w:r>
    </w:p>
    <w:p>
      <w:r>
        <w:t>Les conventions internationales de double imposition visent à déterminer quel pays est compétent pour lever l'impôt ; la manière dont celui-ci est prélevé, ainsi que son taux, reste de la compétence de chaque ordre juridique interne (Arrêts du Tribunal fédéral 2C_625/2008 du 30 janvier 2009 consid. 4.2 ; 2C_265/2007 du 8 octobre 2007 consid. 2.1 ; X. OBERSON, Précis de droit fiscal international, 3ème éd., Berne 2009, n. 368 ; P. LOCHER, Einführung in das internationale Steuerrecht der Schweiz, 3ème éd., Berne 2005, pp. 98 s. et 292). Ainsi, la CDI-F - à l'instar de la très grande majorité des conventions de double imposition - ne contient-elle aucune disposition sur la déductibilité des intérêts</w:t>
      </w:r>
    </w:p>
    <w:p>
      <w:r>
        <w:t>- 6/9 - A/1065/2012 passifs ou des excédents de charges et frais d'entretien des immeubles (ATA/551/2012 du 21 août 2012).</w:t>
      </w:r>
    </w:p>
    <w:p>
      <w:r>
        <w:t>Au vu de ce qui précède, la CDI-F n’apporte pas de solution au problème posé en l’espèce. 5) a. Se pose la question de savoir si l'excédent de charges lié aux immeubles sis à l'étranger fait ou non partie des « autres hypothèses » prévues à l'art. 6 al. 3, 3ème phrase LIFD.</w:t>
      </w:r>
    </w:p>
    <w:p>
      <w:r>
        <w:t>b. Selon la jurisprudence du Tribunal fédéral, en matière de pertes subies à l'étranger, la LIFD retient expressément que les pertes provenant d'établissements stables à l'étranger peuvent être prises en compte lors de la détermination du revenu pour autant qu'il ne soit pas fait de bénéfice subséquent (art. 6 al. 3 2ème phrase LIFD), mais dans tous les autres cas la prise en compte des pertes faites à l'étranger doit être refusée, celles-ci ne pouvant être prises en considération que pour la détermination du taux (art. 6 al. 3 3ème phrase LIFD) ; une telle prise en compte doit donc être refusée pour les immeubles étrangers, sous réserve de dispositions contraires contenues dans une convention de double imposition applicable (Arrêt du Tribunal fédéral in NStP 2000 19 consid. 2b ; ATA/551/2012 précité).</w:t>
      </w:r>
    </w:p>
    <w:p>
      <w:r>
        <w:t>Selon l’art. 6 al. 3 3ème phrase LIFD, et exception faite des établissements stables, les pertes subies à l’étranger ne sont prises en considération en Suisse que pour déterminer le taux d’imposition ; les corrections de valeurs ne peuvent par conséquent être déduites du revenu imposable en Suisse, mais ne sont prises en considération que pour fixer le taux d’impôt, pour autant que les critères formels soient à cet égard remplis (Arrêt du Tribunal fédéral 2A.36/2007 du 21 août 2007 consid. 2.2 ; ATA/551/2012 précité et les références citées).</w:t>
      </w:r>
    </w:p>
    <w:p>
      <w:r>
        <w:t>c. Cette interprétation a été adoptée par presque toutes les juridictions cantonales s'étant penchées sur la question, soit celles de Genève (ATA/551/2012 précité ; ATA/288/2012 du 8 mai 2012 ; ATA/632/2009 du 1er décembre 2009 ; ATA/218/2007 du 8 mai 2007), du Tessin (décision de la commission cantonale en matière d'impôts du 27 octobre 1995 in RDAT 1996 I 379),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de Bâle-Campagne (Entscheid des Steuergericht Nr. 95/2006 du 18.08.2006) et de St-Gall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w:t>
      </w:r>
    </w:p>
    <w:p>
      <w:r>
        <w:t>- 7/9 - A/1065/2012</w:t>
      </w:r>
    </w:p>
    <w:p>
      <w:r>
        <w:t>d. La doctrine largement majoritaire admet également cette solution (F. RICHNER/W. FREI/S. KAUFMANN/H.-U. MEUTER, Handkommentar zum DBG, 2ème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w:t>
      </w:r>
    </w:p>
    <w:p>
      <w:r>
        <w:t>Une partie de la doctrine défend un point de vue différent par souci de cohérence, tout en admettant que cette interprétation se heurte au texte clair de l’art. 6 al. 3 LIFD (D. DE VRIES REILING, Le droit fiscal intercantonal et le droit fiscal international de la Suisse, 2011, p. 296).</w:t>
      </w:r>
    </w:p>
    <w:p>
      <w:r>
        <w:t>Au vu de ce qui précède, la jurisprudence de la chambre de céans sera maintenue : l'excédent de charges liées aux immeubles sis à l'étranger fait partie des « autres hypothèses » prévues à l'art. 6 al. 3, 3ème phrase LIFD. Ledit excédent ne peut pas être pris en considération pour la détermination du revenu net, mais uniquement pour celle du taux de l'impôt.</w:t>
      </w:r>
    </w:p>
    <w:p>
      <w:r>
        <w:t>Impôt cantonal et communal 6)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w:t>
      </w:r>
    </w:p>
    <w:p>
      <w:r>
        <w:t>b. Conformément à son art. 71, la LIPP est entrée en vigueur le 1er janvier 2010. Elle s’applique pour la première fois aux impôts de la période fiscale 2010, litigieuse en l’espèce. 7) a. L'assujettissement fondé sur un rattachement personnel est illimité ; il ne s'étend toutefois pas aux entreprises, aux établissements stables et aux immeubles situés hors du canton (art. 5 al. 1 LIPP).</w:t>
      </w:r>
    </w:p>
    <w:p>
      <w:r>
        <w:t>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que pour déterminer le taux de l'impôt dans le canton.</w:t>
      </w:r>
    </w:p>
    <w:p>
      <w:r>
        <w:t>- 8/9 - A/1065/2012 Dans toutes les autres hypothèses, les pertes subies à l'étranger ne doivent être prises en considération dans le canton que lors de la détermination du taux de l'impôt (art. 5 al. 4 LIPP).</w:t>
      </w:r>
    </w:p>
    <w:p>
      <w:r>
        <w:t>b. L’argument des recourants fondé sur l’absence, dans la LHID, de l’interdiction de prise en charge de l’excédent étranger des frais d’acquisition ou d’intérêts passifs n’est pas susceptible de modifier l’interprétation retenue par la chambre de céans de l’art. 5 al. 4 aLIPP (ATA/288/2012 précité ; ATA/551/2012 précité), dans la mesure où la rédaction de l’art. 5 al. 4 in fine LIPP, comme l’était celle de l’art. 5 al. 4 aLIPP-I, est identique à celle de l'art. 6 al. 3, 3ème phr. LIFD et a été sciemment calquée sur ce modèle : il ressort des travaux préparatoires que « le libellé de l'article 3 [recte : 6] alinéa 3 LIFD, plus clair, a été repris à l'article 5 alinéa 4 aLIPP- I. Cela permet une harmonisation verticale qui est souhaitable » (MGC 1999 45/VIII 7379, exposé des motifs ; ATA/288/2012 précité).</w:t>
      </w:r>
    </w:p>
    <w:p>
      <w:r>
        <w:t>c. Les principes applicables en matière d’IFD le sont mutatis mutandis en matière d’ICC (ATA/551/2012 précité ; ATA/368/2011 du 7 juin 2011 ; ATA/517/2010 du 3 août 2010). 8)</w:t>
      </w:r>
    </w:p>
    <w:p>
      <w:r>
        <w:t>Au vu de ce qui précède, la décision litigieuse sera confirmée et le recours rejeté. Un émolument de CHF 1'000.- sera mis à la charge des recourants, pris conjointement et solidairement.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