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ATA/89/2020 vom 28. Januar 2020</w:t>
      </w:r>
    </w:p>
    <w:p>
      <w:r>
        <w:t>GE Cour de justice, 2020-01-28, FR</w:t>
      </w:r>
    </w:p>
    <w:p>
      <w:r>
        <w:rPr>
          <w:b/>
        </w:rPr>
        <w:t xml:space="preserve">Quelle: </w:t>
      </w:r>
      <w:r>
        <w:t>https://mcp.opencaselaw.ch/entscheid/ge_gerichte_ATA_89_2020</w:t>
      </w:r>
    </w:p>
    <w:p>
      <w:r>
        <w:t>FR: GE_GERICHTE ATA/89/2020 du 28 janvier 2020</w:t>
      </w:r>
    </w:p>
    <w:p>
      <w:r>
        <w:t>IT: GE_GERICHTE ATA/89/2020 del 28 gennaio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10). 2)</w:t>
      </w:r>
    </w:p>
    <w:p>
      <w:r>
        <w:t>Selon l’art. 22 LPA, les parties doivent collaborer à la constatation des faits dans les procédures qu’elles introduisent elles-mêmes. En cas de défaut de collaboration de ces dernières, le tribunal peut prononcer l’irrecevabilité de leurs conclusions (ATA/820/2019 du 25 avril 2019 ainsi que les références citées).</w:t>
      </w:r>
    </w:p>
    <w:p>
      <w:r>
        <w:t>En l’espèce, la recourante a été invitée, dans la décision de reprise de la procédure du 12 novembre 2019, à actualiser son recours. Un rappel lui a été adressé par plis simple et recommandé le 12 décembre 2019. Le pli recommandé contenant la décision de reprise a été retiré à la poste par l’intéressée le</w:t>
      </w:r>
    </w:p>
    <w:p>
      <w:r>
        <w:rPr>
          <w:b/>
        </w:rPr>
        <w:t>E. 16</w:t>
      </w:r>
    </w:p>
    <w:p>
      <w:r>
        <w:t>novembre 2019 et le courrier recommandé de rappel l’a été le 17 décembre 2019.</w:t>
      </w:r>
    </w:p>
    <w:p>
      <w:r>
        <w:t>Dans ces circonstances, force est ainsi de constater que la recourante a renoncé à collaborer dans le cadre de la présente procédure, faisant de surcroît montre de désintérêt pour la cause qu’elle a introduite (art. 24 LPA).</w:t>
      </w:r>
    </w:p>
    <w:p>
      <w:r>
        <w:t>En conséquence, le recours sera déclaré irrecevable. 3)</w:t>
      </w:r>
    </w:p>
    <w:p>
      <w:r>
        <w:t>Vu l’issue du litige, un émolument CHF 400.- sera mis à la charge de la recourante qui succombe (art. 87 al. 1 LPA) et aucune indemnité de procédure ne lui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