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ATA/898/2014 vom 18. November 2014</w:t>
      </w:r>
    </w:p>
    <w:p>
      <w:r>
        <w:t>GE Cour de justice, 2014-11-18, FR</w:t>
      </w:r>
    </w:p>
    <w:p>
      <w:r>
        <w:rPr>
          <w:b/>
        </w:rPr>
        <w:t xml:space="preserve">Quelle: </w:t>
      </w:r>
      <w:r>
        <w:t>https://mcp.opencaselaw.ch/entscheid/ge_gerichte_ATA_898_2014</w:t>
      </w:r>
    </w:p>
    <w:p>
      <w:r>
        <w:t>FR: GE_GERICHTE ATA/898/2014 du 18 novembre 2014</w:t>
      </w:r>
    </w:p>
    <w:p>
      <w:r>
        <w:t>IT: GE_GERICHTE ATA/898/2014 del 18 novembre 2014</w:t>
      </w:r>
    </w:p>
    <w:p>
      <w:pPr>
        <w:pStyle w:val="Heading2"/>
      </w:pPr>
      <w:r>
        <w:t>Erwägungen</w:t>
      </w:r>
    </w:p>
    <w:p>
      <w:r>
        <w:rPr>
          <w:b/>
        </w:rPr>
        <w:t>E. 23</w:t>
      </w:r>
    </w:p>
    <w:p>
      <w:r>
        <w:t>septembre 2014 consid. 2 ; ATA/594/2014 du 29 juillet 2014 consid. 9b). 6)</w:t>
      </w:r>
    </w:p>
    <w:p>
      <w:r>
        <w:t>En l'espèce, la décision attaquée concerne la suspension de l'instruction d'une cause administrative au sens de l'art. 14 LPA. Il s'agit donc d'une décision incidente, qui doit faire l'objet d'un recours dans les dix jours dès sa réception.</w:t>
      </w:r>
    </w:p>
    <w:p>
      <w:r>
        <w:t>Le conseil du recourant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w:t>
      </w:r>
    </w:p>
    <w:p>
      <w:r>
        <w:t>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b. Cette disposition légale a la même teneur que l’art. 93 al. 1 let. a et b de la loi fédérale sur le Tribunal fédéral du 17 juin 2005 (LTF - RS 173.110). Un</w:t>
      </w:r>
    </w:p>
    <w:p>
      <w:r>
        <w:t>- 7/10 - A/1685/2011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w:t>
      </w:r>
    </w:p>
    <w:p>
      <w:r>
        <w:t>c. S'agissant plus spécifiquement d'une décision de suspension de la procédure au sens de l'art. 14 LPA, la chambre de céans a déjà eu l'occasion de déclarer irrecevables, faute de dommage irréparable, plusieurs recours visant à contester immédiatement de telles décisions (ATA/454/2014 du 17 juin 2014 consid. 2b ; ATA/406/2013 du 2 juillet 2013 consid. 5). Elle rejoint en cela la pratique d'autres cantons (pour Berne, la pratique est relevée dans l'arrêt du Tribunal fédéral 1C_86/2014 du 10 juin 2014 consid. 5 ; pour Lucerne, cf. LGVE 2013 IV n. 4 consid. 5b).</w:t>
      </w:r>
    </w:p>
    <w:p>
      <w:r>
        <w:t>d. La jurisprudence du Tribunal fédéral retient à cet égard que le refus d'ordonner la suspension d'une procédure ne constitue pas un dommage irréparable (arrêt du Tribunal fédéral 1C_331/2008 du 1er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w:t>
      </w:r>
    </w:p>
    <w:p>
      <w:r>
        <w:t>- 8/10 - A/1685/2011 8)</w:t>
      </w:r>
    </w:p>
    <w:p>
      <w:r>
        <w:t>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(ATA/639/2014 du 19 août 2014 et les références citées). 9)</w:t>
      </w:r>
    </w:p>
    <w:p>
      <w:r>
        <w:t>En l'espèce, l'acte de recours mentionne à propos de la recevabilité l'ATF 134 IV 43 et le caractère recevable des recours contre des décisions de suspension lorsqu'ils visent un déni de justice formel. Toutefois, dans l'examen du fond, le recourant, et dans le cadre de son grief relatif à l'abus du pouvoir d'appréciation, se contente, en une seule phrase, d'invoquer que suspendre l'instruction des dossiers pendant des années reviendrait à le priver du droit d'être jugé dans un délai raisonnable. Or il ressort du reste de ses écritures qu'il ne redoute pas tant un retard indu de la procédure – laquelle est, doit-on le rappeler, complexe et connexe à de nombreux autres dossiers similaires – que l'impossibilité de faire valoir directement ses droits dans la procédure au profit de laquelle l'instruction est suspendue, et à laquelle il n'est pas partie. De même, il se plaint avec nettement plus d'acuité de ce que les conditions de l'art. 14 LPA ne seraient pas réunies.</w:t>
      </w:r>
    </w:p>
    <w:p>
      <w:r>
        <w:t>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 11) Le recours sera donc déclaré irrecevable. 12) Vu l'issue du litige, un émolument de CHF 250.- sera mis à la charge du recourant (art. 87 al. 1 LPA), et aucune indemnité de procédure ne sera allouée (art. 87 al. 2 LPA).</w:t>
      </w:r>
    </w:p>
    <w:p>
      <w:r>
        <w:t>* * * * *</w:t>
      </w:r>
    </w:p>
    <w:p>
      <w:r>
        <w:t>- 9/10 - A/1685/2011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