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ATA/897/2021 vom 31. August 2021</w:t>
      </w:r>
    </w:p>
    <w:p>
      <w:r>
        <w:t>GE Cour de justice, 2021-08-31, FR</w:t>
      </w:r>
    </w:p>
    <w:p>
      <w:r>
        <w:rPr>
          <w:b/>
        </w:rPr>
        <w:t xml:space="preserve">Quelle: </w:t>
      </w:r>
      <w:r>
        <w:t>https://mcp.opencaselaw.ch/entscheid/ge_gerichte_ATA_897_2021</w:t>
      </w:r>
    </w:p>
    <w:p>
      <w:r>
        <w:t>FR: GE_GERICHTE ATA/897/2021 du 31 août 2021</w:t>
      </w:r>
    </w:p>
    <w:p>
      <w:r>
        <w:t>IT: GE_GERICHTE ATA/897/2021 del 31 agosto 2021</w:t>
      </w:r>
    </w:p>
    <w:p>
      <w:pPr>
        <w:pStyle w:val="Heading2"/>
      </w:pPr>
      <w:r>
        <w:t>Erwägungen</w:t>
      </w:r>
    </w:p>
    <w:p>
      <w:r>
        <w:rPr>
          <w:b/>
        </w:rPr>
        <w:t>E. 12</w:t>
      </w:r>
    </w:p>
    <w:p>
      <w:r>
        <w:t>septembre 1985 - LPA - E 5 10). 2)</w:t>
      </w:r>
    </w:p>
    <w:p>
      <w:r>
        <w:t>Le recourant se plaint de la violation de son droit à la preuve, du fait que le TAPI n’a pas ordonné d’expertise portant sur les nuisances subies en raison du trafic aérien.</w:t>
      </w:r>
    </w:p>
    <w:p>
      <w:r>
        <w:t>a. Tel qu'il est garanti par l'art. 29 al. 2 Cst., le droit d'être entendu comprend notamment le droit pour l'intéressé d'offrir des preuves pertinentes et d'obtenir qu'il soit donné suite aux offres de preuve présentées en temps utile et dans les formes requises (ATF 132 II 485 consid. 3.2 ; 127 I 54 consid. 2b). Ce droit n'empêche cependant pas la juge de renoncer à l'administration de certaines</w:t>
      </w:r>
    </w:p>
    <w:p>
      <w:r>
        <w:t>- 5/10 - A/2301/2020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t>b. En l’espèce, il convient, en premier lieu, de relever que le recourant n’a pas requis d’actes d’instruction du TAPI. Il ne peut donc se plaindre de ce que son droit à faire administrer des preuves aurait été violé.</w:t>
      </w:r>
    </w:p>
    <w:p>
      <w:r>
        <w:t>Par ailleurs, les éléments sur lesquels il souhaite faire porter, devant la chambre de céans, les expertises et le transport sur place ne nécessitent pas de procéder à ces actes d’instruction. En effet, la situation de la parcelle appartenant au recourant et comportant les deux villas ressort de sources d’information publiques, notamment du site du SITG sur lequel il sera revenu en détail ci-après (consid. 4).</w:t>
      </w:r>
    </w:p>
    <w:p>
      <w:r>
        <w:t>Les éléments au dossier permettent ainsi de trancher le litige sans effectuer les actes d’instruction requis. 3)</w:t>
      </w:r>
    </w:p>
    <w:p>
      <w:r>
        <w:t>Sont litigieux les coefficients retenus pour tenir compte des nuisances engendrées par l’aéroport, la STEP et le stand de tir.</w:t>
      </w:r>
    </w:p>
    <w:p>
      <w:r>
        <w:t>a. Selon l'art. 16 de la loi fédérale sur l’impôt fédéral direct du 14 décembre 1990 (LIFD – RS 642.11), l'impôt sur le revenu a pour objet tous les revenus du contribuable, qu'ils soient uniques ou périodiques. Sont aussi considérés comme revenus les prestations en nature de tout genre dont le contribuable bénéficie, notamment la pension et le logement.</w:t>
      </w:r>
    </w:p>
    <w:p>
      <w:r>
        <w:t>La valeur locative est imposable en vertu de l'art. 21 al. 1 let. b LIFD. L'art. 21 al. 2 LIFD prévoit que celle-ci est déterminée compte tenu des conditions locales et de l'utilisation effective du logement au domicile du contribuable. Selon cette disposition et la jurisprudence, la valeur locative doit être estimée à la valeur objective du marché (art. 16 al. 2 LIFD ; ATF 131 I 377 consid. 2.2), étant relevé qu'une certaine marge subsiste (arrêt du Tribunal fédéral 2C_843/2016 du 31 janvier 2019 consid. 2.1). Dans tous les cas, la valeur locative retenue par le canton en matière d'impôt fédéral direct ne doit pas se situer en deçà du 70 % de la valeur du marché (ATF 123 II 9 consid. 4b; arrêt du Tribunal fédéral 2C_843/2016 du 31 janvier 2019 consid. 2.1).</w:t>
      </w:r>
    </w:p>
    <w:p>
      <w:r>
        <w:t>b. En droit cantonal, l'art. 24 al. 1 let. b de la loi sur l'imposition des personnes physiques du 27 septembre 2009 (LIPP - D 3 08) a une teneur similaire à celle de l'art. 21 al. 1 let. b LIFD. Selon l'art. 24 al. 2 LIPP, la valeur locative est déterminée en tenant compte des conditions locales. Le loyer théorique des villas et des appartements en copropriété par étages occupés par leurs propriétaires est fixé en fonction notamment de la surface habitable, du nombre de pièces, de</w:t>
      </w:r>
    </w:p>
    <w:p>
      <w:r>
        <w:t>- 6/10 - A/2301/2020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w:t>
      </w:r>
    </w:p>
    <w:p>
      <w:r>
        <w:t>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(ATF 141 II 338 consid. 6.1 ; ATA/287/2020 du 10 mars 2020 consid. 5 et la référence citée). En matière de détermination de la valeur locative, l'objectif poursuivi par l'adoption de circulaires est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sous peine de violer le principe de l'égalité de traitement (Nicolas MERLINO in Yves NOËL/ Florence AUBRY GIRARDIN, LIFD, Commentaire romand 2e éd. 2017, n. 109 ad art. 21 LIFD).</w:t>
      </w:r>
    </w:p>
    <w:p>
      <w:r>
        <w:t>L'AFC-GE a édicté, le 28 juin 2007, l'information n° 5/2007 relative à la nouvelle détermination de la valeur locative genevoise (ci-après : l'information), exposant la façon dont était redéfinie la méthode de détermination de la valeur locative de base.</w:t>
      </w:r>
    </w:p>
    <w:p>
      <w:r>
        <w:t>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w:t>
      </w:r>
    </w:p>
    <w:p>
      <w:r>
        <w:t>Le questionnaire précité prévoit sous « nuisances » les indications suivantes : - Aéroport : « Valeur d’alarme (VA) » (courbe rouge) = 0.70</w:t>
      </w:r>
    </w:p>
    <w:p>
      <w:r>
        <w:t>« Valeur limite d’immissions (VLI) » (courbe bleue) = 0.80</w:t>
      </w:r>
    </w:p>
    <w:p>
      <w:r>
        <w:t>« Valeur de planification (VP) » (courbe verte) = 0.90</w:t>
      </w:r>
    </w:p>
    <w:p>
      <w:r>
        <w:t>- 7/10 - A/2301/2020 - Autoroute ou voie CFF (moins de 100 m. sans protection phonique) = 0.90 - Station d’épuration ou d’incinération, usine avec émanations (moins de 1.5 km) = 0.90</w:t>
      </w:r>
    </w:p>
    <w:p>
      <w:r>
        <w:t>- Stand de tir (moins de 1.5 km sans obstacle naturel) = 0.90</w:t>
      </w:r>
    </w:p>
    <w:p>
      <w:r>
        <w:t>Le guide accompagnant le questionnaire énumère les STEP et les stands de tir du canton pour lesquels les nuisances donnent droit à un coefficient réduit. Il précise que : « les stands de tir privés pour petits calibres et ceux de la police ne peuvent pas être pris en considération ». Enfin, le questionnaire prévoit expressément qu'une « expertise individuelle demeure réservée si le résultat de ce questionnaire ne correspond manifestement pas à la valeur du marché ».</w:t>
      </w:r>
    </w:p>
    <w:p>
      <w:r>
        <w:t>Selon le Tribunal fédéral, l’information précitée est une ordonnance administrative destinée à fixer une pratique uniforme de l'administration dans l'application de la loi fiscale et donc à déployer des effets externes qui touchent la position juridique des contribuables en matière d'évaluation de la valeur locative (arrêt 2C_757/2015 du 8 décembre 2016 consid. 4.3). Dans la mesure où l'information permet une application correcte des dispositions légales dans un cas d'espèce, le juge doit en tenir compte (ATF 142 II 182 consid. 2.3.2).</w:t>
      </w:r>
    </w:p>
    <w:p>
      <w:r>
        <w:t>L'application, pour l'ensemble du canton de Genève, de l'information et du questionnaire qui y est annexé permet également de garantir une certaine égalité de traitement entre contribuables. Cette information, qui est librement disponible à tous, permet de savoir relativement précisément quelle est la valeur locative devant être attendue, dans la mesure où des valeurs locatives de base sont prévues et que des coefficients y sont ajoutés, en fonction du type d'habitation, de l'aménagement, de la vétusté, des nuisances et de la situation générale, autant d'éléments qui servent à concrétiser la jurisprudence rendue en matière de détermination de la valeur locative. Néanmoins, le résultat obtenu à la suite de l'application de l'ensemble des critères figurant dans le questionnaire n'est pas obligatoirement définitif, en particulier si ce résultat ne respecte pas l'ensemble des conditions locales du lieu de situation de l'immeuble (arrêt du Tribunal fédéral 2C_22/2021 du 7 mai 2021 consid. 4.4). 4) a. En l’espèce, le TAPI s’est référé aux informations ressortant du site du SITG pour déterminer la nuisance subie par la parcelle du recourant. Ce site est librement accessible à chacun ; les informations en ressortant sont considérées comme des faits notoires (arrêt du Tribunal fédéral 2C_569/2018 du 27 mai 2019 consid. 3.2). Selon le site du SITG, la parcelle du recourant se situe dans la zone de VP. Conformément au guide 2018, le coefficient applicable à la zone VP est de 0.9.</w:t>
      </w:r>
    </w:p>
    <w:p>
      <w:r>
        <w:t>Contrairement à ce que fait valoir le recourant, le fait que sa parcelle se situe à 270 m de la zone VLI n’est pas susceptible de modifier ce qui précède. En effet,</w:t>
      </w:r>
    </w:p>
    <w:p>
      <w:r>
        <w:t>- 8/10 - A/2301/2020 bien que cela relève d’un certain schématisme, les différentes délimitations de zone visent, notamment, à garantir l'égalité de traitement entre les propriétaires des parcelles sises dans les différents périmètres subissant des nuisances liées à la proximité de l’aéroport. Contrairement à ce qu’il soutient, le recourant est ainsi traité de la même manière que les autres propriétaires de parcelles sises dans la même zone que la sienne. En outre, aucun élément ne permet de retenir que les mesures du cadastre du bruit seraient inexactes, étant relevé que les informations figurant sur le site du SITG sont le fruit d’« un réseau de partenaires publics ayant pour but de coordonner, centraliser et diffuser largement les données relatives au territoire genevois. Les partenaires partageant entre eux et avec un large public les données géographiques produites dans le cadre de leurs missions » (https://ge.ch/sitg/le-sitg). Les relevés des trajectoires des avions des 24 et 25 septembre 2020 tirés du site de www.F______.net auxquels le recourant se réfère ne sont pas de nature à douter des informations ressortant du site du SITG. En outre, le coefficient applicable à la zone VP reflète l’existence d’une nuisance liée à la proximité de l’aéroport.</w:t>
      </w:r>
    </w:p>
    <w:p>
      <w:r>
        <w:t>Enfin et surtout, les allégations du recourant relatives à l’impact du trafic aérien sur sa parcelle sont contredites par l’expertise privée produite par ses soins : celle-ci qualifie, en effet, la nuisance liée aux avions de « relativement faible ».</w:t>
      </w:r>
    </w:p>
    <w:p>
      <w:r>
        <w:t>Au vu de ce qui précède, l’AFC-GE n’a pas abusé de son pouvoir d’appréciation en retenant un coefficient de 0.9 lié aux nuisances subies par la parcelle dues à la proximité de l’aéroport.</w:t>
      </w:r>
    </w:p>
    <w:p>
      <w:r>
        <w:t>b. La STEP dont le recourant se plaint des nuisances se situe, selon le SITG, à 2,2 km de la parcelle. Or, pour être prise en considération, elle devrait, à teneur du guide, se trouver à moins de 1,5 km, ce qui n’est pas le cas. Pour ce premier motif, il n’y a donc pas lieu d’en tenir compte. Par ailleurs, la STEP en question ne figure pas sur la liste des STEP admises comme source de nuisances, ce qui justifie également de ne pas en tenir compte.</w:t>
      </w:r>
    </w:p>
    <w:p>
      <w:r>
        <w:t>Il en va de même du stand de tir. Celui-ci ne figure pas sur la liste des stands de tir cantonaux admis comme source de nuisances. Par ailleurs, cette liste exclut les nuisances liées au stands de tir utilisés par la police. En outre, comme l’a relevé le TAPI sans être critiqué sur ce point, le bois de Merdisel se trouve entre la parcelle du recourant et le stand de tir et constitue ainsi un obstacle naturel. Enfin, l’expertise privée produite par le recourant ne mentionne sous « nuisances » ni la STEP ni le stand de tir.</w:t>
      </w:r>
    </w:p>
    <w:p>
      <w:r>
        <w:t>Au vu de l’ensemble de ces éléments, l’AFC-GE n’a pas violé la loi, notamment l’art. 21 al. 2 LIFD et l’art. 24 al. 2 LIPP, ni abusé de son pouvoir d’appréciation en constatant l’absence de nuisances, au sens des dispositions</w:t>
      </w:r>
    </w:p>
    <w:p>
      <w:r>
        <w:t>- 9/10 - A/2301/2020 précitées, liées à la STEP et au stand de tir. L’AFC-GE était donc fondée à ne pas retenir de facteur de correction y relatif.</w:t>
      </w:r>
    </w:p>
    <w:p>
      <w:r>
        <w:t>c. L’expertise privée indique que la parcelle est située en zone agricole. Selon le SITG, aucune construction n’obstrue la vue du recourant, notamment en direction sud-est. Le recourant conteste ce constat, mais n’expose pas en quoi il serait erroné. Il n’y a ainsi pas lieu de s’écarter des indications ressortant du SITG, qui permettent de considérer que la parcelle jouit d’un bon ensoleillement et d’une vue dégagée, justifiant de retenir un coefficient de 1.05 à ce titre.</w:t>
      </w:r>
    </w:p>
    <w:p>
      <w:r>
        <w:t>Ce faisant, l’AFC-GE n'a pas violé la loi ni abusé de son pouvoir d’appréciation.</w:t>
      </w:r>
    </w:p>
    <w:p>
      <w:r>
        <w:t>Entièrement mal fondé, le recours sera rejeté. 5)</w:t>
      </w:r>
    </w:p>
    <w:p>
      <w:r>
        <w:t>Vu l’issue du litige, le recourant supportera l’émolument de CHF 1'000.- et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