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ATA/897/2018 vom 4. September 2018</w:t>
      </w:r>
    </w:p>
    <w:p>
      <w:r>
        <w:t>GE Cour de justice, 2018-09-04, FR</w:t>
      </w:r>
    </w:p>
    <w:p>
      <w:r>
        <w:rPr>
          <w:b/>
        </w:rPr>
        <w:t xml:space="preserve">Quelle: </w:t>
      </w:r>
      <w:r>
        <w:t>https://mcp.opencaselaw.ch/entscheid/ge_gerichte_ATA_897_2018</w:t>
      </w:r>
    </w:p>
    <w:p>
      <w:r>
        <w:t>FR: GE_GERICHTE ATA/897/2018 du 4 septembre 2018</w:t>
      </w:r>
    </w:p>
    <w:p>
      <w:r>
        <w:t>IT: GE_GERICHTE ATA/897/2018 del 4 settembre 2018</w:t>
      </w:r>
    </w:p>
    <w:p>
      <w:pPr>
        <w:pStyle w:val="Heading2"/>
      </w:pPr>
      <w:r>
        <w:t>Regeste</w:t>
      </w:r>
    </w:p>
    <w:p>
      <w:r>
        <w:t>Résumé: Les agents de police peuvent dresser un constat d'infraction sur la base de leur appréciation. La loi n'exige pas qu'ils aient recours à un engin de mesure. L'octroi de l'autorisation ne libère pas son bénéficiaire de son devoir d'exploiter son établissement en n'engendrant pas d'inconvénient pour le voisinage.</w:t>
      </w:r>
    </w:p>
    <w:p>
      <w:pPr>
        <w:pStyle w:val="Heading2"/>
      </w:pPr>
      <w:r>
        <w:t>Erwägungen</w:t>
      </w:r>
    </w:p>
    <w:p>
      <w:r>
        <w:rPr>
          <w:b/>
        </w:rPr>
        <w:t>E. 1</w:t>
      </w:r>
    </w:p>
    <w:p>
      <w:r>
        <w:t>Interjeté en temps utile devant la juridiction compétente, le recours est recevable (art. 66 LRDBHD ;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du 17 octobre 2017 prononçant une amende de CHF 400.- à l’encontre du recourant, à titre de sanction, pour les faits commis le 15 septembre 2016 en se fondant sur la LRDBHD.</w:t>
      </w:r>
    </w:p>
    <w:p>
      <w:r>
        <w:rPr>
          <w:b/>
        </w:rPr>
        <w:t>E. 3</w:t>
      </w:r>
    </w:p>
    <w:p>
      <w:r>
        <w:t>Dans son recours, le recourant offre de prouver par son audition diverses allégations.</w:t>
      </w:r>
    </w:p>
    <w:p>
      <w:r>
        <w:t>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- 6/11 - A/4639/2017</w:t>
      </w:r>
    </w:p>
    <w:p>
      <w:r>
        <w:t>c. Le droit d’être entendu ne comprend pas le droit d’être entendu oralement (arrêt du Tribunal fédéral 1C_551/2015 du 22 mars 2016 consid. 2.2) ni celui d’obtenir l’audition de témoins (ATF 130 II 425 consid. 2.1 ; ATA/1537/2017 du 28 novembre 2017 consid. 3a).</w:t>
      </w:r>
    </w:p>
    <w:p>
      <w:r>
        <w:t>d. En l’espèce, les pièces pertinentes ont été versées à la procédure et la chambre administrative dispose d’un dossier complet lui permettant de se prononcer sur les griefs soulevés et trancher le litige en toute connaissance de cause. Comme il sera vu plus bas, le recourant ne conteste pas les constatations des policiers décisives pour la solution du litige.</w:t>
      </w:r>
    </w:p>
    <w:p>
      <w:r>
        <w:t>Il ne sera dès lors pas donné suite à la requête du recourant.</w:t>
      </w:r>
    </w:p>
    <w:p>
      <w:r>
        <w:rPr>
          <w:b/>
        </w:rPr>
        <w:t>E. 4</w:t>
      </w:r>
    </w:p>
    <w:p>
      <w:r>
        <w:t>Dans ses écritures, le recourant évoque un vice de forme, le rapport du 2 novembre 2016 ne le mentionnant pas comme exploitant de l’établissement.</w:t>
      </w:r>
    </w:p>
    <w:p>
      <w:r>
        <w:t>En l’espèce, il ne ressort pas du dossier que la décision attaquée serait entachée d’un vice tel qu’elle serait annulable. Si le rapport du 2 novembre 2016 comporte effectivement une erreur en tant qu’il mentionne M. B______ comme exploitant l’établissement, celle-ci a pu être réparée avant la prise de décision, les courriers ayant été adressé à l’intéressé, si bien qu’elle est en tout état de cause sans gravité. Elle ne saurait conduire à l’annulation de la décision attaquée.</w:t>
      </w:r>
    </w:p>
    <w:p>
      <w:r>
        <w:t>Par conséquent, le grief sera écarté.</w:t>
      </w:r>
    </w:p>
    <w:p>
      <w:r>
        <w:rPr>
          <w:b/>
        </w:rPr>
        <w:t>E. 5</w:t>
      </w:r>
    </w:p>
    <w:p>
      <w:r>
        <w:t>Le recourant estime que le PCTN a violé le principe de célérité car, selon l’art. 60 al. 2 LRDBHD, tout rapport établi par la police, ou par tout autre agent de la force publique habilité à constater les infractions à la présente loi, est transmis sans délai au département.</w:t>
      </w:r>
    </w:p>
    <w:p>
      <w:r>
        <w:t>La police est intervenue le 15 septembre 2016 et le rapport de dénonciation établi le 2 novembre 2016.</w:t>
      </w:r>
    </w:p>
    <w:p>
      <w:r>
        <w:t>a. Selon la doctrine, sauf dans les rares cas où la loi fixe à l’autorité un délai impératif, et non un simple délai d’ordre, pour se prononcer, l’administré n’a pas un droit à ce que l’autorité compétente statue dans un délai déterminé abstraitement. Le délai au-delà duquel l’inaction de l’autorité contrevient à son obligation de statuer dépend des circonstances, de la nature de l’affaire, de sa complexité et de la difficulté éventuelle d’élucider les questions de fait (ATF 135 I 265 et jurisprudences citées ; Thierry TANQUEREL, Manuel de droit administratif, 2011, n. 1501).</w:t>
      </w:r>
    </w:p>
    <w:p>
      <w:r>
        <w:t>b. En l’espèce, dès lors que ni la LRDBHD ni le RRDBHD ne prévoient de conséquences en cas de non-respect de l’art. 60 al. 2 LRDBHD, la transmission sans délai du rapport établi par la police au département doit être considérée comme un délai d’ordre. Ainsi, le recourant n’a pas un droit à ce que le PCTN</w:t>
      </w:r>
    </w:p>
    <w:p>
      <w:r>
        <w:t>- 7/11 - A/4639/2017 statue dans un délai précis, quand bien même il serait judicieux d'éviter de longs mois avant d’informer la personne intéressée de la dénonciation, le justiciable n'ayant plus forcément le souvenir de tous les éléments pertinents.</w:t>
      </w:r>
    </w:p>
    <w:p>
      <w:r>
        <w:t>Les griefs du recourant afférents au dépassement d’un éventuel délai seront donc écartés.</w:t>
      </w:r>
    </w:p>
    <w:p>
      <w:r>
        <w:rPr>
          <w:b/>
        </w:rPr>
        <w:t>E. 6</w:t>
      </w:r>
    </w:p>
    <w:p>
      <w:r>
        <w:t>Le principe de la bonne foi entre administration et administré, exprimé aux art. 9 et 5 al. 3 de la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ATA/1239/2017 du 29 août 2017 consid. 5a ; Thierry TANQUEREL, op. cit., 2011, n. 568).</w:t>
      </w:r>
    </w:p>
    <w:p>
      <w:r>
        <w:rPr>
          <w:b/>
        </w:rPr>
        <w:t>E. 7</w:t>
      </w:r>
    </w:p>
    <w:p>
      <w:r>
        <w:t>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w:t>
      </w:r>
    </w:p>
    <w:p>
      <w:r>
        <w:t>b. Le département de la sécurité et de l’économie, devenu depuis lors le département de la sécurité, est chargé de l’application de la loi et de son règlement (art. 3 al. 1 RRDBHD). Il délègue cette compétence au PCTN (art. 3 al. 2 RRDBHD).</w:t>
      </w:r>
    </w:p>
    <w:p>
      <w:r>
        <w:t>c. Parmi les obligations des exploitants d’entreprises vouées à la restauration et au débit de boissons, l’art. 24 al. 2 LRDBHD prévoit que l’exploitation de l’entreprise doit se faire de manière à ne pas engendrer d’inconvénients pour le voisinage.</w:t>
      </w:r>
    </w:p>
    <w:p>
      <w:r>
        <w:t>d. 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RRDBHD).</w:t>
      </w:r>
    </w:p>
    <w:p>
      <w:r>
        <w:t>e. En cas d’infraction à la LRDBHD et à ses dispositions d’exécution, ainsi qu’aux conditions des autorisations, le département peut infliger une amende</w:t>
      </w:r>
    </w:p>
    <w:p>
      <w:r>
        <w:t>- 8/11 - A/4639/2017 administrative de CHF 300.- à CHF 60’000.- en sus du prononcé de l’une des mesures prévues aux art. 61, 62 et 64, respectivement à la place ou en sus du prononcé de l’une des mesures prévues à l’art. 63 (art. 65 al. 1 LRDBHD). Si l’infraction a été commise dans la gestion d’une personne morale,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(art. 65 al. 2 LRDBHD).</w:t>
      </w:r>
    </w:p>
    <w:p>
      <w:r>
        <w:t>f. 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w:t>
      </w:r>
    </w:p>
    <w:p>
      <w:r>
        <w:rPr>
          <w:b/>
        </w:rPr>
        <w:t>E. 8</w:t>
      </w:r>
    </w:p>
    <w:p>
      <w:r>
        <w:t>En l’espèce, il ressort du rapport de dénonciation que les agents ont constaté que le bruit provenant de l’établissement était audible depuis l’extérieur et avait engendré des inconvénients pour le voisinage. De plus, deux grosses enceintes donnant sur l’extérieur étaient installées devant les entrées de l’établissement, côté lac, soit sur le domaine public.</w:t>
      </w:r>
    </w:p>
    <w:p>
      <w:r>
        <w:t>Le recourant reproche à l’intimé d’avoir fondé sa décision sur l’appréciation subjective des agents de police, ceux-ci n’ayant pas eu recours à un instrument technique pour mesurer le bruit de façon objective. Toutefois, les agents de police peuvent dresser un constat d’infraction sur la base de leur appréciation. La loi n’exige pas qu’ils aient recours à un engin de mesure.</w:t>
      </w:r>
    </w:p>
    <w:p>
      <w:r>
        <w:t>Dans ses observations du 31 août 2017 et dans ses écritures de recours, l’intéressé indique que les enceintes étaient installées dans un sas faisant partie intégrante de la surface louée par l’établissement, soit sur le domaine privé. Il ne conteste pas que les enceintes aient été placées à l’extérieur des locaux de l’établissement. Partant, cette circonstance essentielle n’étant pas contestée par le recourant, ses allégations ne sont pas propres à remettre en cause les constatations faites par la police, si bien qu’il convient d’admettre que les enceintes étaient installées devant les entrées de l’établissement, à l’extérieur, côté lac.</w:t>
      </w:r>
    </w:p>
    <w:p>
      <w:r>
        <w:t>De plus, à teneur de la décision du 17 octobre 2017, l’autorisation délivrée par l’intimé permettait uniquement d’organiser les animations à l’intérieur des locaux de l’établissement, à l’exclusion de la terrasse, comme le prévoit l’art. 35 al. 4 RRDBHD. Le recourant ne pouvait pas ignorer que le bruit serait audible depuis l’extérieur de son établissement, lorsqu’il a positionné les enceintes aux entrées, à l’extérieur de l’établissement. Par conséquent, qu’elles aient été posées sur le domaine public ou privé, les installations n’étaient pas conforme à la décision, ni au RRDBHD. Si l’autorisation précise que l’événement doit se</w:t>
      </w:r>
    </w:p>
    <w:p>
      <w:r>
        <w:t>- 9/11 - A/4639/2017 dérouler à l’intérieur des locaux de l’établissement, c’est précisément pour que le bruit y soit confiné.</w:t>
      </w:r>
    </w:p>
    <w:p>
      <w:r>
        <w:t>Il sera ainsi constaté que le recourant a exploité l’entreprise de manière à engendrer des inconvénients pour le voisinage et qu’il n’a pas respecté les conditions d’autorisation permettant l’animation musicale, ni l’art. 35 al. 4 RRDBHD.</w:t>
      </w:r>
    </w:p>
    <w:p>
      <w:r>
        <w:t>Par ailleurs, l’intimé ne peut se voir reprocher d’avoir violé le principe de la bonne foi. En effet, le fait d’avoir accordé l’autorisation ne s’opposait pas à ce que l’autorité intimée veille à ce que les conditions de celle-ci et son application conforme à la loi soient respectées. De même, l’octroi de l’autorisation ne libère pas son bénéficiaire de son devoir d’exploiter son établissement en n’engendrant pas d’inconvénient pour le voisinage.</w:t>
      </w:r>
    </w:p>
    <w:p>
      <w:r>
        <w:t>Au vu de ce qui précède, ces griefs seront rejetés.</w:t>
      </w:r>
    </w:p>
    <w:p>
      <w:r>
        <w:rPr>
          <w:b/>
        </w:rPr>
        <w:t>E. 9</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(ATA/1305/2015 du 8 décembre 2015 consid. 12b et les références citées).</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(ATA/806/2018 du 7 août 2018 consid. 10 ; ATA/319/2018 du 10 avril 2018 consid. 11b ; ATA/1239/2017 du 29 août 2017 consid. 6b).</w:t>
      </w:r>
    </w:p>
    <w:p>
      <w:r>
        <w:t>Dès lors qu’une infraction à la LRDBHD est retenue contre l’exploitant d’un établissement, le PCTN peut infliger une amende allant CHF 300.- à CHF 60’000.- en vertu de l’art. 65 al. 1 LRDBHD.</w:t>
      </w:r>
    </w:p>
    <w:p>
      <w:r>
        <w:t>En l’espèce, l’amende d’un montant de CHF 400.- infligée au recourant est proche du minimum prévu par la loi. Partant, le montant de l’amende est conforme au principe de la proportionnalité.</w:t>
      </w:r>
    </w:p>
    <w:p>
      <w:r>
        <w:rPr>
          <w:b/>
        </w:rPr>
        <w:t>E. 10</w:t>
      </w:r>
    </w:p>
    <w:p>
      <w:r>
        <w:t>Vu l’issue du litige, un émolument de CHF 500.- sera mis à la charge du recourant, qui succombe (art. 87 al. 1 LPA) et aucune indemnité de procédure ne lui sera allouée (art. 87 al. 2 LPA).</w:t>
      </w:r>
    </w:p>
    <w:p>
      <w:r>
        <w:t>- 10/11 - A/4639/2017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