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ATA/897/2016 vom 25. Oktober 2016</w:t>
      </w:r>
    </w:p>
    <w:p>
      <w:r>
        <w:t>GE Cour de justice, 2016-10-25, FR</w:t>
      </w:r>
    </w:p>
    <w:p>
      <w:r>
        <w:rPr>
          <w:b/>
        </w:rPr>
        <w:t xml:space="preserve">Quelle: </w:t>
      </w:r>
      <w:r>
        <w:t>https://mcp.opencaselaw.ch/entscheid/ge_gerichte_ATA_897_2016</w:t>
      </w:r>
    </w:p>
    <w:p>
      <w:r>
        <w:t>FR: GE_GERICHTE ATA/897/2016 du 25 octobre 2016</w:t>
      </w:r>
    </w:p>
    <w:p>
      <w:r>
        <w:t>IT: GE_GERICHTE ATA/897/2016 del 25 ottobre 2016</w:t>
      </w:r>
    </w:p>
    <w:p>
      <w:pPr>
        <w:pStyle w:val="Heading2"/>
      </w:pPr>
      <w:r>
        <w:t>Erwägungen</w:t>
      </w:r>
    </w:p>
    <w:p>
      <w:r>
        <w:rPr>
          <w:b/>
        </w:rPr>
        <w:t>E. 1</w:t>
      </w:r>
    </w:p>
    <w:p>
      <w:r>
        <w:t>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w:t>
      </w:r>
    </w:p>
    <w:p>
      <w:r>
        <w:rPr>
          <w:b/>
        </w:rPr>
        <w:t>E. 2</w:t>
      </w:r>
    </w:p>
    <w:p>
      <w:r>
        <w:t>a. L'interprétation est une voie de recours extraordinaire dont le résultat ne constitue pas une modification, une révision ou un réexamen du jugement dont</w:t>
      </w:r>
    </w:p>
    <w:p>
      <w:r>
        <w:t>- 4/5 - A/1809/2016 l'interprétation est demandée. Elle ne conduit qu'à préciser un point du dispositif, voire à comprendre un dispositif peu explicite (ATA/432/2010 du 22 juin 2010 consid. 2 ; Blaise KNAPP, Précis de droit administratif, 4ème édition, 1991, p. 253 n. 1146 ss et p. 428 n. 2069 ss).</w:t>
      </w:r>
    </w:p>
    <w:p>
      <w:r>
        <w:t>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w:t>
      </w:r>
    </w:p>
    <w:p>
      <w:r>
        <w:rPr>
          <w:b/>
        </w:rPr>
        <w:t>E. 3</w:t>
      </w:r>
    </w:p>
    <w:p>
      <w:r>
        <w:t>Contrairement à ce que soutient la demanderesse, l’arrêt litigieux est clair. Le DEAS l’a parfaitement compris et synthétisé dans ses écritures.</w:t>
      </w:r>
    </w:p>
    <w:p>
      <w:r>
        <w:rPr>
          <w:b/>
        </w:rPr>
        <w:t>E. 4</w:t>
      </w:r>
    </w:p>
    <w:p>
      <w:r>
        <w:t>Dans ces circonstances, la demande d’interprétation formée par la demanderesse sera déclarée irrecevable, les éléments rappelés ci-dessus ressortant déjà sans ambiguïté des motifs et du dispositif de l’arrêt litigieux.</w:t>
      </w:r>
    </w:p>
    <w:p>
      <w:r>
        <w:t>Un émolument de CHF 500.- sera mis à la charge de la recourante,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