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ATA/895/2023 vom 22. August 2023</w:t>
      </w:r>
    </w:p>
    <w:p>
      <w:r>
        <w:t>GE Cour de justice, 2023-08-22, FR</w:t>
      </w:r>
    </w:p>
    <w:p>
      <w:r>
        <w:rPr>
          <w:b/>
        </w:rPr>
        <w:t xml:space="preserve">Quelle: </w:t>
      </w:r>
      <w:r>
        <w:t>https://mcp.opencaselaw.ch/entscheid/ge_gerichte_ATA_895_2023</w:t>
      </w:r>
    </w:p>
    <w:p>
      <w:r>
        <w:t>FR: GE_GERICHTE ATA/895/2023 du 22 août 2023</w:t>
      </w:r>
    </w:p>
    <w:p>
      <w:r>
        <w:t>IT: GE_GERICHTE ATA/895/2023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149 de la loi sur les constructions et les installations diverses du 14 avril 1988 - LCI - L 5 05). 2. La recourante sollicite l'audition de G______.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 En outre, il n'implique pas le droit à l’audition de témoins (ATF 140 I 285 consid. 6.3.1). 2.2 En droit genevois, la procédure administrative est en principe écrite ; toutefois, si le règlement et la nature de l'affaire le requièrent, l'autorité peut procéder oralement (art. 18 LPA). 2.3 En l'espèce, la recourante s’est vu offrir la possibilité de faire valoir ses arguments par écrit devant l'autorité intimée, puis le TAPI et la chambre de céans, et s'est exprimée de manière circonstanciée sur l'objet du litige. De surcroît, elle n'indique pas quels éléments pertinents qui n’auraient pu être produits par écrit le témoignage de G______ permettrait d’apporter à la solution du litige. Si elle estime que l'audition de ce dernier serait nécessaire pour démontrer le refus des propriétaires des bâtiments alentours de conclure des baux pour antennes, les explications qu'elle a fournies dans son courrier du 23 juin 2023 permettent toutefois à la chambre de céans d'apprécier les faits allégués et d'évaluer en connaissance de cause la pertinence de son grief relatif à l'absence d'emplacements alternatifs.</w:t>
      </w:r>
    </w:p>
    <w:p>
      <w:r>
        <w:t>- 6/16 - A/2701/2022 La chambre de céans dispose ainsi d'un dossier complet, qui comprend notamment les écritures des parties ainsi que les pièces produites à leur appui, de sorte qu'il ne se justifie pas de procéder oralement. La cause apparaît ainsi en état d’être jugée. Il ne sera dès lors pas donné suite à la demande d’acte d’instruction de la recourante. 3. Dans un grief d’ordre formel qu’il convient d’examiner avant les griefs au fond (ATF 141 V 495 consid. 2.2 et les arrêts cités), la recourante se plaint d’une violation de son droit d’être entendue par le TAPI en raison d'un défaut de motivation de son jugement. Elle reproche en particulier à la juridiction précédente d'avoir procédé à un raisonnement schématique, sans avoir effectué de pesée des intérêts en jeu ni examiné les spécificités du cas. 3.1 Le droit d’être entendu comprend notamment le droit d’obtenir une décision motivée (ATF 142 II 154 consid. 4.2 ; ATF 141 V 557 consid 3.2.1 ; arrêt du Tribunal fédéral 2C_954/2020 du 26 juillet 2021 consid. 4.1). L’autorité n’est toutefois pas tenue de prendre position sur tous les moyens des parties ; elle peut se limiter aux questions décisives (ATF 142 II 154 consid. 4.2 ; ATF 141 V 557 consid 3.2.1 ; 138 IV 81 consid. 2.2 ; Thierry TANQUEREL, Manuel de droit administratif, 2e éd., 2018, p. 531 n. 1573). Il suffit, de ce point de vue, que les parties puissent se rendre compte de la portée de la décision prise à leur égard et, le cas échéant, recourir contre elle en connaissance de cause (ATF 141 V 557 consid. 3.2.1 ; ATF 138 I 232 consid. 5.1 ; ATA/876/2021 du 31 août 2021 consid. 6b ; Pierre TSCHANNEN/Ulrich ZIMMERLI, Allgemeines Verwaltungsrecht, 4e éd., 2014, p. 271 ; Pierre MOOR/Étienne POLTIER, Droit administratif, vol. 2, 3e éd., 2011, p. 348 ss, n. 2.2.8.3). 3.2 En l'espèce, le TAPI a rappelé que le projet litigieux appartenait à un ensemble protégé par le droit cantonal et que la CMNS s'était prononcée défavorablement sur celui-ci, dans la mesure où il nuirait à l'unité urbanistique de l'ensemble à son caractère architectural qu'il convenait de protéger. Prenant en compte ces éléments ainsi que la hauteur de la superstructure, soit 3 m, il a estimé que l'impact du projet ne serait pas minime et que l'antenne ne serait pas imperceptible depuis l'espace public, ce qui justifiait le refus de l'autorité intimée de délivrer l'autorisation sollicitée. Compte tenu de ces développements, il n'apparaît pas que le TAPI aurait omis d'examiner les spécificités du cas d'espèce. Son raisonnement a d'ailleurs permis à la recourante de comprendre la portée de la décision prise à son égard et de recourir contre elle en connaissance de cause.</w:t>
      </w:r>
    </w:p>
    <w:p>
      <w:r>
        <w:t>- 7/16 - A/2701/2022 Le grief d’une violation du droit d’être entendu sera ainsi écarté. 4. Le litige porte sur la conformité au droit du jugement attaqué, par lequel le TAPI a confirmé le refus de l'autorité intimée de délivrer à la recourante l'autorisation sollicitée. 4.1 Aucune construction ou installation ne peut être créée ou transformée sans autorisation de l'autorité compétente (art. 22 al. 1 de la loi fédérale sur l’aménagement du territoire du 22 juin 1979 - LAT - RS 700 ; art. 1 al. 1 LCI).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 4.2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 La nécessité d'assurer une couverture adéquate du réseau de téléphonie mobile sur tout le territoire suisse, qu'il soit bâti ou non (ATF 138 III 570 consid. 4.2) constitue un intérêt public qui découle de l'art. 92 al. 2 Cst. et de l'art. 1 al. 1 et 2 de la loi sur les télécommunications du 30 avril 1997 (LTC – RS 784.10 ;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w:t>
      </w:r>
    </w:p>
    <w:p>
      <w:r>
        <w:t>- 8/16 - A/2701/2022 4.3 Les plans d’affectation règlent le mode d’utilisation du sol (art. 14 al. 1 LAT). Ils délimitent notamment les zones à protéger (art. 14 al. 2 LAT), qui comprennent les localités typiques, les lieux historiques, les monuments naturels ou culturels (art. 17 al. 1 let. c LAT). À Genève, les zones protégées constituent des périmètres délimités à l’intérieur d’une zone à bâtir ordinaire ou de développement et qui ont pour but la protection de l’aménagement et du caractère architectural des quartiers et localités considérés (art. 12 al. 5 LaLAT). Les ensembles du XIXe et du début du XXe siècles sont des zones à protéger au sens de l'art. 17 LAT. Ils font l'objet de dispositions particulières incluses dans la LCI, à savoir ses art. 89 à 93 (art. 28 et 29 al. 1 let. d LaLAT). 4.4 Les art. 89 ss LCI prévoient la préservation de l'unité architecturale et urbanistique des ensembles du XIXe siècle et du début du XXe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L'art. 89 LCI pose le principe du but de la protection et confirme qu'il ne s'agit pas de protéger un quartier comme tel, ni de protéger un immeuble isolé (MGC 1983/II 2202 p. 2207). La qualification d'ensembles protégés procède d'une volonté d'unité et d'harmonie dans la conception de l'espace aménagé, dont les différents éléments forment un tout projeté et cohérent (ATA/1366/2015 du 21 décembre 2015 consid. 4a et les arrêts cités ; MGC 1983/II 2202 p. 2207). Le législateur n'a pas estimé possible de décréter le maintien obligatoire de tous les immeubles à protéger. La protection conférée par les art. 89 ss LCI n'est ainsi pas absolue. La protection doit ainsi répondre au principe de la proportionnalité et implique une pesée des intérêts public et privé en présence. En édictant les dispositions légales des art. 89 ss LCI, le législateur a voulu avant tout préserver le caractère architectural et urbanistique des ensembles du XIXe et du début du XXe siècles et éviter des rénovations ou des transformations abusives. Il n'a nullement prétendu vouloir figer l'aspect des bâtiments dans le temps (ATA/1366/2015 précité consid. 8 et les références citées). Sous réserve des dispositions spéciales des art. 89 à 93 LCI, les dispositions générales de la LCI sont applicables aux immeubles visés à l’art. 89 (art. 91 LCI). Les demandes d’autorisation, à l’exception de celles instruites en procédure accélérée, concernant des immeubles visés à l’art. 89 sont soumises, pour préavis, à la CMNS (art. 93 al. 1 LCI). Les préavis sont motivés (art. 93 al. 4 LCI).</w:t>
      </w:r>
    </w:p>
    <w:p>
      <w:r>
        <w:t>- 9/16 - A/2701/2022 4.5 Depuis quelques décennies en Suisse, les mesures de protection du patrimoine ne s'appliquent plus uniquement à des monuments exceptionnels ou à des œuvres d'art mais visent des objets très divers du patrimoine architectural du pays, parce qu'ils sont des témoins caractéristiques d'une époque ou d'un style (Philip VOGEL, La protection des monuments historiques, 1982, p. 25). La jurisprudence a pris acte de cette évolution (ATF 126 I 219 consid. 2 p. 223 ; arrêt du Tribunal fédéral 1C_300/2011 du 3 février 2012 consid. 5.1.1 ; ATA/423/2023 du 25 avril 2023 consid. 5.1).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XIXe siècle et la nécessité de sauvegarder un patrimoine plus récent, voire contemporain. Néanmoins, comme tout objet construit ne mérite pas une protection, il faut procéder à une appréciation d'ensemble, en fonction des critères objectifs ou scientifiques (ATA/423/2023 précité consid. 5.1 et les arrêts cités). 4.6 L’art. 3 al. 3 LCI prévoit notamment que les demandes d’autorisation sont soumises, à titre consultatif, au préavis des communes, des départements et des organismes intéressés.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À ce titre, son préavis est important (ATA/97/2019 du 29 janvier 2019 consid. 4d et les références citées).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w:t>
      </w:r>
    </w:p>
    <w:p>
      <w:r>
        <w:t>- 10/16 - A/2701/2022 4.7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(ATA/435/2023 du 25 avril 2023 consid. 5g et les références citées).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du 24 mai 2022 consid. 6b ; Thierry TANQUEREL, op.cit., p. 179).</w:t>
      </w:r>
    </w:p>
    <w:p>
      <w:r>
        <w:rPr>
          <w:b/>
        </w:rPr>
        <w:t>E. 5</w:t>
      </w:r>
    </w:p>
    <w:p>
      <w:r>
        <w:t>Les installations de téléphonie mobile peuvent être soumises aux dispositions cantonales ou communales d'esthétique ou d'intégration (arrêt du Tribunal fédéral 1C_371/2020 du 9 février 2021 consid. 3.2 et les références citées; ACST/11/2021 du 15 avril 2021 consid. 8a). Dans l'application d'une clause générale d'esthétique, l'autorité ne doit cependant pas se laisser guider par son sentiment subjectif ; il lui appartient de motiver soigneusement son appréciation (ATF 141 II 245, consid. 4.1 non publié ; arrêt du Tribunal fédéral 1C_49/2015 du</w:t>
      </w:r>
    </w:p>
    <w:p>
      <w:r>
        <w:rPr>
          <w:b/>
        </w:rPr>
        <w:t>E. 5.1</w:t>
      </w:r>
    </w:p>
    <w:p>
      <w:r>
        <w:t>La forte demande de services de téléphonie mobile dans les zones urbaines nécessite la construction d'antennes de téléphonie mobile qui doivent dépasser les toits pour remplir leur fonction (arrêt du Tribunal fédéral 1C_118/2010 du 20 octobre 2010 consid. 6.4 et les références citées).</w:t>
      </w:r>
    </w:p>
    <w:p>
      <w:r>
        <w:rPr>
          <w:b/>
        </w:rPr>
        <w:t>E. 5.2</w:t>
      </w:r>
    </w:p>
    <w:p>
      <w:r>
        <w:t>Dans la zone à bâtir, l'opérateur n'a aucune obligation fondée sur le droit fédéral d'établir un besoin et une pesée des intérêts n'entre pas en considération ; c'est à lui seul qu'il incombe de choisir l'emplacement adéquat de l'installation de</w:t>
      </w:r>
    </w:p>
    <w:p>
      <w:r>
        <w:t>- 12/16 - A/2701/2022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1er juillet 2004 consid. 4.3 et les références citées).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 6. En l'espèce, les parties ne contestent pas – à juste titre – que le projet litigieux est prévu sur un bâtiment appartenant à un ensemble protégé du XIXe siècle et du début du XXe siècle, soit une zone à protéger au sens de la LAT, tel que recensé par le service de l'inventaire des monuments d’art et d’histoire. L'autorité intimée a refusé le projet litigieux en raison de son impact esthétique négatif sur le site, vu la hauteur conséquente de l'installation, mais surtout en raison du préavis négatif de la CMNS auquel elle s'est référé. Cette instance spécialisée a considéré que le projet altérerait la composition architecturale du bâtiment, compromettrait l'unité architecturale de l'ensemble protégé et porterait atteinte au caractère architectural de « cet édifice remarquable, digne de protection ».</w:t>
      </w:r>
    </w:p>
    <w:p>
      <w:r>
        <w:t>- 13/16 - A/2701/2022 Dans ces conditions, il convient au préalable de déterminer si le préavis de la CMNS, qui se limite à analyser les questions qui relèvent de sa compétence, est justifié. Indépendamment de la problématique de la visibilité du projet depuis l'espace public, il n'est pas contestable que l'installation litigieuse – soit un mât de 3 m de haut sur lequel doivent être fixées trois antennes et qui sera placé sur le toit de l'immeuble – altérera l'architecture de ce dernier, en raison notamment de sa structure imposante, ce d'autant plus que l'antenne culminera à 4.27 m plus haut que le faîte de la toiture en raison de la superstructure qui la surélève. Cette atteinte, qui ne saurait être considérée comme minime, sera d'autant plus importante que le bâtiment concerné possède des qualités architecturales indéniables, comme l'a relevé la CMNS, ce que l'on ne saurait remettre en question en l'absence d'éléments contraires pertinents. La péjoration de l'esthétique du bâtiment entraînera également un impact négatif sur les autres bâtiments faisant partie de l'ensemble et rompra leur harmonie. Or, les art. 89 ss LCI imposent de conserver l’unité architecturale et urbanistique de cet ensemble et, de facto, de limiter, dans la mesure du possible, les interventions sur ces bâtiments. Il ressort des pièces du dossier, et en particulier de la photo n° 5 produite par la recourante, que l'installation litigieuse sera visible, à tout le moins en partie, depuis le n° ______ de la route E______, soit un lieu largement fréquenté. Son impact sur l'architecture du bâtiment et l'harmonie de l'ensemble sera donc perceptible depuis l'espace public. Contrairement à ce que prétend la recourante, on voit mal en quoi cet impact serait réduit par la présence d'antennes de télévision en toiture du bâtiment. Au contraire, l'ajout d'une nouvelle construction indépendante ne fera que l'accentuer. Au vu de qui précède, le préavis de la CMNS est justifié. L'autorité intimée était donc fondée à s'y référer pour retenir que le projet litigieux nuirait au caractère du site au sens de l'art. 15 LCI et porterait atteinte à son unité architecturale et urbanistique (art. 89 ss LCI). Reste à déterminer si l'application des dispositions précitées est en l'occurrence conforme au droit fédéral des télécommunications. En d'autres termes, il s'agit de procéder à une pesée des intérêts en présence, soit l'intérêt public à la préservation de l'ensemble protégé et celui des habitants du quartier à disposer d'un réseau de téléphonie mobile de bonne qualité. Eu égard à la jurisprudence précitée, la pesée des intérêts à effectuer dépend en particulier du degré de protection du site ainsi que du degré d'atteinte qu'il subira en raison de l'installation de téléphonie mobile projetée. Comme vu précédemment, l'impact de l'antenne projetée sera important tant sur le bâtiment concerné que sur l'ensemble.</w:t>
      </w:r>
    </w:p>
    <w:p>
      <w:r>
        <w:t>- 14/16 - A/2701/2022 La pesée des intérêts tient également compte de la nécessité ou non d'augmenter la couverture réseau dans la zone litigieuse. Même si elle n'a aucune obligation fondée sur le droit fédéral d'établir un besoin de couverture, la recourante ne prouve pas à satisfaction de droit que la couverture dans la zone serait si déficitaire qu'elle nécessiterait absolument l'installation d'une antenne à l'emplacement litigieux, qui, au vu des raisons précédemment évoquées, n'apparaît manifestement pas approprié à cet effet, pas plus qu'elle ne démontre que la hauteur de l'installation se justifierait pour des raisons techniques. Si elle prétend avoir démontré le besoin de couverture, les cartes qu'elle a produites ne sont toutefois pas munies d'une empreinte officielle, de sorte que leur force probante doit être relativisée. Même si tel avait été le cas, elles ne laissent pas apparaître un manque de couverture du réseau téléphonique dont souffrirait le quartier concerné. La recourante n'allègue au demeurant pas que les habitants se seraient plaints de problèmes de connexion ou de la mauvaise qualité du réseau. De plus, comme l'a relevé l'autorité intimée, d'autres bâtiments alentour sont susceptibles de pouvoir accueillir l'installation litigieuse. En particulier, ceux situés aux ______ et ______ route E______ ne font pas partie d'un ensemble et bénéficient à tous le moins de mesures de protection moindres, voire inexistantes. Ils représentent des solutions alternatives concrètes et moins dommageables que celle envisagée, lesquelles s'imposent car l'implantation de l'antenne se heurte en l'occurrence à deux empêchements juridiques, à savoir la clause d'esthétique de l'art. 15 LCI et celles de protection du patrimoine des art. 89 ss LCI. Si la recourante a d'abord exposé que les propriétaires des bâtiments précités avaient refusé de donner leur accord pour la location de baux pour antennes, son courrier du 23 juin 2023 révèle qu'elle n'a en réalité pas effectué les démarches nécessaires dont elle s'est prévalue. Les raisons qu'elle invoque pour le justifier n'emportent pas conviction. En particulier, quand bien même il serait « très difficile, voire impossible de conclure un contrat de bail lorsqu'il y a cinq copropriétaires », une telle situation ne la dispense pas d'effectuer les démarches utiles, sauf à préjuger, sur la base de ses seules affirmations, de la réponse desdits copropriétaires. La recourante ne démontre ainsi pas à satisfaction de droit que les solutions alternatives proposées par l'autorité intimée ne pourraient pas être concrétisées. L'existence de ces solutions conduit d'ailleurs à exclure l'hypothèse selon laquelle l'application des normes cantonales d'esthétique ou de protection des sites compliquerait en l'occurrence à l'excès la réalisation de l'obligation de couverture qui incombe à la recourante en vertu du droit fédéral. Enfin, contrairement à ce qu'elle prétend, aucune comparaison n'est possible entre les antennes et les panneaux photovoltaïques. En effet, la possibilité d'installer ces derniers en toiture des bâtiments appartenant à un ensemble du XIXe siècle et du début du XXe siècle est expressément prévue par la loi (art. 90 al. 2 LCI), laquelle ne contient en revanche aucune disposition analogue sur les antennes. De plus, les</w:t>
      </w:r>
    </w:p>
    <w:p>
      <w:r>
        <w:t>- 15/16 - A/2701/2022 panneaux photovoltaïques n'ayant pas les mêmes formes et dimensions que les antennes, ils s'intègrent indéniablement mieux aux bâtiments. Enfin, ces deux équipements ne poursuivent pas les mêmes buts. Au vu de ce qui précède, en particulier en raison de l'atteinte esthétique importante portée au bâtiment concerné et à l'ensemble protégé ainsi de l'existence de solutions alternatives concrètes moins dommageables et en l'absence de nécessité dûment établie d'augmenter la couverture du réseau dans le site concerné, l'intérêt public à la protection du patrimoine l'emporte sur ceux découlant de la loi sur les télécommunications. L'autorité intimée était ainsi fondée à refuser d'octroyer l'autorisation de construire sollicitée. Le recours sera en conséquence rejeté. 7. Vu l'issue du litige, un émolument de CHF 1'500.- sera mis à la charge de la recourante (art. 87 al. 1 LPA) et il ne sera pas alloué d’indemnité de procédure (art. 87 al. 2 LPA).</w:t>
      </w:r>
    </w:p>
    <w:p>
      <w:r>
        <w:t>* * * * *</w:t>
      </w:r>
    </w:p>
    <w:p>
      <w:r>
        <w:rPr>
          <w:b/>
        </w:rPr>
        <w:t>E. 9</w:t>
      </w:r>
    </w:p>
    <w:p>
      <w:r>
        <w:t>décembre 2015 consid. 3.3), en particulier d'indiquer les raisons pour lesquelles elle considère qu'une construction ou une installation serait de nature à enlaidir le site (ATF 115 Ia 363 consid. 3b ; arrêt du Tribunal fédéral 1C_465/2010 du 31 mai 2011 consid. 3.2 et les arrêts cités). Les normes précitées doivent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w:t>
      </w:r>
    </w:p>
    <w:p>
      <w:r>
        <w:t>- 11/16 - A/2701/2022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Une intervention de l'autorité communale ou cantonale sur la base d'une clause d'esthétique ou de dispositions communales de portée analogue doit se justifier par un intérêt public prépondérant, tel que la protection d'un site ou d'un ensemble de bâtiments présentant des qualités esthétiques remarquables (ATF 101 Ia 213 consid. 6c ; arrêt du Tribunal fédéral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(art. 2 al. 3 LAT). L'autorité de recours doit toutefois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 145 I 52 consid. 3.6). Aussi,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