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ATA/895/2019 vom 14. Mai 2019</w:t>
      </w:r>
    </w:p>
    <w:p>
      <w:r>
        <w:t>GE Cour de justice, 2019-05-14, FR</w:t>
      </w:r>
    </w:p>
    <w:p>
      <w:r>
        <w:rPr>
          <w:b/>
        </w:rPr>
        <w:t xml:space="preserve">Quelle: </w:t>
      </w:r>
      <w:r>
        <w:t>https://mcp.opencaselaw.ch/entscheid/ge_gerichte_ATA_895_2019</w:t>
      </w:r>
    </w:p>
    <w:p>
      <w:r>
        <w:t>FR: GE_GERICHTE ATA/895/2019 du 14 mai 2019</w:t>
      </w:r>
    </w:p>
    <w:p>
      <w:r>
        <w:t>IT: GE_GERICHTE ATA/895/2019 del 14 maggio 2019</w:t>
      </w:r>
    </w:p>
    <w:p>
      <w:pPr>
        <w:pStyle w:val="Heading2"/>
      </w:pPr>
      <w:r>
        <w:t>Regeste</w:t>
      </w:r>
    </w:p>
    <w:p>
      <w:r>
        <w:t>Résumé: Recours d'une ressortissante tunisienne contre la décision de l'OCPM lui refusant de soumettre à l'autorité fédérale, avec préavis positif, son dossier en vue de l'octroi d'une autorisation de séjour pour cas de rigueur. En Suisse depuis sept ans, la durée de son séjour doit être relativisée. Bien que méritoire, son intégration professionnelle ne peut toutefois pas être qualifié d'exceptionnelle. Même si l'issue de la procédure peut avoir un impact sur la santé psychique de la recourante, l'intéressée pourra être suivie, d'une part, jusqu'à l'exécution de son renvoi et, d'autre part, en cas de besoin, dans son pays d'origine. Pour ce même motif, les conditions pour une admission provisoire ne sont pas réunies. Recours rejeté.</w:t>
      </w:r>
    </w:p>
    <w:p>
      <w:pPr>
        <w:pStyle w:val="Heading2"/>
      </w:pPr>
      <w:r>
        <w:t>Erwägungen</w:t>
      </w:r>
    </w:p>
    <w:p>
      <w:r>
        <w:rPr>
          <w:b/>
        </w:rPr>
        <w:t>E. 19</w:t>
      </w:r>
    </w:p>
    <w:p>
      <w:r>
        <w:t>avril 2011 consid. 6.1 ; ATA/801/2018 précité consid. 10c et l'arrêt cité).</w:t>
      </w:r>
    </w:p>
    <w:p>
      <w:r>
        <w:t>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65692/12, § 43 et 50 ; ATAF 2011/9 consid. 7.1 ; ATAF 2009/2 consid. 9.1.2 ss ; arrêts du TAF D-1958/2015 du 24 avril 2015 ; E-2840/2010 du 3 mai 2010 ; ATA/801/2018 précité consid. 10c).</w:t>
      </w:r>
    </w:p>
    <w:p>
      <w:r>
        <w:t>d.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t>- 20/22 - A/726/2018</w:t>
      </w:r>
    </w:p>
    <w:p>
      <w:r>
        <w:t>e. En l’espèce, comme vu ci-dessus, la prise en charge médicale de la recourante dans son pays d’origine est possible, étant relevé qu'il ressort également du document du SEM précité que le médicament Zyprexa qu'elle prend selon son écriture du 28 février 2018 y est disponible.</w:t>
      </w:r>
    </w:p>
    <w:p>
      <w:r>
        <w:t>Il n’apparaît ainsi pas que l'exécution du retour de la recourante dans son pays d’origine serait illicite, ne serait pas possible, étant relevé sur ce point qu'elle dispose d'un passeport tunisien valable jusqu'au 23 mai 2019, selon les pièces du dossier, ou ne pourrait raisonnablement être exigé.</w:t>
      </w:r>
    </w:p>
    <w:p>
      <w:r>
        <w:t>Mal fondé, le recours sera donc rejeté. 8)</w:t>
      </w:r>
    </w:p>
    <w:p>
      <w:r>
        <w:t>La recourante plaidant au bénéfice de l’assistance juridique, aucun émolument ne sera mis à sa charge (art. 87 al. 1 LPA ; art. 13 al. 1 du règlement sur les frais, émoluments et indemnités en procédure administrative du 30 juillet 1986 - RFPA - E 5 10.03), et,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