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ATA/895/2016 vom 25. Oktober 2016</w:t>
      </w:r>
    </w:p>
    <w:p>
      <w:r>
        <w:t>GE Cour de justice, 2016-10-25, FR</w:t>
      </w:r>
    </w:p>
    <w:p>
      <w:r>
        <w:rPr>
          <w:b/>
        </w:rPr>
        <w:t xml:space="preserve">Quelle: </w:t>
      </w:r>
      <w:r>
        <w:t>https://mcp.opencaselaw.ch/entscheid/ge_gerichte_ATA_895_2016</w:t>
      </w:r>
    </w:p>
    <w:p>
      <w:r>
        <w:t>FR: GE_GERICHTE ATA/895/2016 du 25 octobre 2016</w:t>
      </w:r>
    </w:p>
    <w:p>
      <w:r>
        <w:t>IT: GE_GERICHTE ATA/895/2016 del 25 ottobre 2016</w:t>
      </w:r>
    </w:p>
    <w:p>
      <w:pPr>
        <w:pStyle w:val="Heading2"/>
      </w:pPr>
      <w:r>
        <w:t>Erwägungen</w:t>
      </w:r>
    </w:p>
    <w:p>
      <w:r>
        <w:rPr>
          <w:b/>
        </w:rPr>
        <w:t>E. 1</w:t>
      </w:r>
    </w:p>
    <w:p>
      <w:r>
        <w:t>Interjeté en temps utile devant la juridiction compétente, le recours est recevable de ces points de vue (art. 15 al. 1bis let. d et al. 2 de l'Accord intercantonal sur les marchés publics du 25 novembre 1994 - AIMP - L 6 05 ; art. 3 al. 1 de la loi autorisant le Conseil d’État à adhérer à l’accord intercantonal sur les marchés publics du 12 juin 1997 - L-AIMP - L 6 05.0 ; art. 56 al. 1 du règlement sur la passation des marchés publics du 17 décembre 2007 - RMP L 6 05.01 ; art. 132 de la loi sur l'organisation judiciaire du 26 septembre 2010 - LOJ - E 2 05).</w:t>
      </w:r>
    </w:p>
    <w:p>
      <w:r>
        <w:rPr>
          <w:b/>
        </w:rPr>
        <w:t>E. 2</w:t>
      </w:r>
    </w:p>
    <w:p>
      <w:r>
        <w:t>L’AIMP a pour objectif l’ouverture des marchés publics, notamment des communes (art. 1 al. 1 AIMP). Il vise à harmoniser les règles de passation des marchés ainsi qu’à transposer les obligations découlant de l’accord GATT/OMC ainsi que de l’accord entre la communauté européenne et la Confédération suisse (art. 1 al. 2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données publiques (art. 1 al. 3 let. d AIMP). Ces principes doivent être respectés, notamment dans la phase de passation des marchés (art. 11 AIMP, notamment let. a et b).</w:t>
      </w:r>
    </w:p>
    <w:p>
      <w:r>
        <w:rPr>
          <w:b/>
        </w:rPr>
        <w:t>E. 3</w:t>
      </w:r>
    </w:p>
    <w:p>
      <w:r>
        <w:t>Aux termes de l'art. 32 al. 1 RMP, ne sont prises en considération que les offres accompagnées, pour le soumissionnaire et ses sous-traitants, notamment d’une attestation certifiant, pour le personnel appelé à travailler sur territoire genevois : - soit que le soumissionnaire est lié par la convention collective de travail de sa branche, applicable à Genève ;</w:t>
      </w:r>
    </w:p>
    <w:p>
      <w:r>
        <w:t>- 4/7 - A/533/2016 - soit qu'il a signé, auprès de l'office cantonal, un engagement à respecter les usages de sa profession en vigueur à Genève, notamment en ce qui concerne la couverture du personnel en matière de retraite, de perte de gain en cas de maladie, d'assurance-accident et d'allocations familiales .</w:t>
      </w:r>
    </w:p>
    <w:p>
      <w:r>
        <w:t>En vertu de l'art. 42 RMP, l'offre est écartée d'office lorsque le soumissionnaire a rendu une offre tardive, incomplète ou non-conforme aux exigences ou au cahier des charges (al. 1 let. a) ; les offres écartées ne sont pas évaluées ; l'autorité adjudicatrice rend une décision d'exclusion motivée, notifiée par courrier à l'intéressé, avec mention des voies de recours (al. 3).</w:t>
      </w:r>
    </w:p>
    <w:p>
      <w:r>
        <w:rPr>
          <w:b/>
        </w:rPr>
        <w:t>E. 4</w:t>
      </w:r>
    </w:p>
    <w:p>
      <w:r>
        <w:t>Le droit des marchés publics est formaliste, comme la chambre de céans l’a déjà rappelé à plusieurs reprises et c’est dans le respect de ce formalisme que l’autorité adjudicatrice doit procéder à l’examen de la recevabilité des offres et à leur évaluation (ATA/420/2016 du 24 mai 2016 consid. 5c ; ATA/1216/2015 du 10 novembre 2015 consid. 5b ; ATA/129/2014 du 4 mars 2014 consid. 3 ; ATA/535/2011 du 30 août 2011 consid. 5).</w:t>
      </w:r>
    </w:p>
    <w:p>
      <w:r>
        <w:t>L’interdiction du formalisme excessif, tirée de la garantie à un traitement équitable des administrés énoncée à l’art. 29 de la Constitution fédérale de la Confédération suisse du 18 avril 1999 (Cst. - RS 101), interdit d’exclure une offre présentant une informalité de peu de gravité. C’est dans ce sens que des erreurs de calcul et d’écriture peuvent être rectifiées (art. 39 al. 2 RMP) et que des explications peuvent être demandées aux soumissionnaires relatives à leurs aptitudes et à leurs offres (art. 40 et 41 RMP). Le principe d’intangibilité des offres remises et le respect du principe d’égalité de traitement entre soumissionnaires impliquent de ne procéder à ce type de questionnement que de manière restrictive, et seulement lorsque l’offre est, au demeurant, conforme aux conditions de l’appel d’offres (Jean-Baptiste ZUFFEREY/Corinne MAILLARD/ Nicolas MICHEL, in Droit des marchés publics, 2002, p. 110 ; Olivier RODONDI, La gestion de la procédure de soumission [ci-après : La gestion de la procédure de soumission], in Droit des marchés publics 2008, p. 186 n. 63).</w:t>
      </w:r>
    </w:p>
    <w:p>
      <w:r>
        <w:t>Les principes précités valent également pour la phase d’examen de la recevabilité des soumissions (Olivier RODONDI, op. cit., p. 186 n. 65). Lors de celle-ci, l’autorité adjudicatrice doit examiner si les offres présentées remplissent les conditions formelles pour participer à la procédure d’évaluation proprement dite et il est exclu d’autoriser un soumissionnaire à modifier la présentation de son offre, à y apporter des compléments ou à transmettre de nouveaux documents. En outre, en matière d’attestation, l’autorité adjudicatrice peut attendre d’un soumissionnaire qu’il présente les documents requis, rédigés d’une manière qui permette de déterminer, sans recherche complémentaire, interprétation ou extrapolation, si celui-ci remplit les conditions d’aptitude ou d’offre conformes à ce qui est exigé dans le cahier des charges (ATA/1216/2015 précité consid. 5c ; ATA/291/2014 du 29 avril 2014 consid. 5, confirmé par arrêt du Tribunal fédéral</w:t>
      </w:r>
    </w:p>
    <w:p>
      <w:r>
        <w:t>- 5/7 - A/533/2016 2C_418/2014 du 20 août 2014 ; ATA/102/2010 du 16 février 2010, confirmé par arrêts du Tribunal fédéral 2C_197/2010 et 2C_198/2010 du 30 avril 2010). Dans l’hypothèse où des documents sont manquants à réception de l’offre, il convient d’en considérer l’importance eu égard au dossier dans son ensemble (ATA/1216/2015 précité consid. 5c ; ATA/79/2008 du 19 février 2008 consid. 4 ; ATA/250/2006 du 9 mai 2006 consid. 4 ; Denis ESSEIVA, DC 2/2002 p. 77-78).</w:t>
      </w:r>
    </w:p>
    <w:p>
      <w:r>
        <w:t>La chambre de céans s'est toujours montrée stricte dans ce domaine (ATA/420/2016 précité consid. 5c ; ATA/291/2014 précité consid. 5 ; ATA/535/2011 précité consid. 6 ; ATA/150/2006 du 14 mars 2006, notamment), ce que le Tribunal fédéral a constaté mais confirmé (arrêts du Tribunal fédéral 2C_418/2014, 2C_197/2010 et 2C_198/2010 précités), la doctrine étant plus critique à cet égard (Olivier RODONDI, op. cit., p. 186 n. 64, et p. 187 n. 66).</w:t>
      </w:r>
    </w:p>
    <w:p>
      <w:r>
        <w:rPr>
          <w:b/>
        </w:rPr>
        <w:t>E. 5</w:t>
      </w:r>
    </w:p>
    <w:p>
      <w:r>
        <w:t>En l’espèce, la recourante n’a pas produit une attestation concernant son sous-traitant, qui constituait une condition d'aptitude selon les documents d'appel d'offres.</w:t>
      </w:r>
    </w:p>
    <w:p>
      <w:r>
        <w:t>Elle admet avoir commis une erreur de reliure, soulignant toutefois que l’employé en question est une personne extrêmement consciencieuse.</w:t>
      </w:r>
    </w:p>
    <w:p>
      <w:r>
        <w:t>Les explications données, au vu des principes rappelés ci-dessus, ne sauraient justifier une exception à la rigueur formelle voulue par le législateur dans le domaine des marchés publics et appliquée par la chambre de céans. Il appartient en effet précisément aux entreprises et aux personnes qui déposent une offre de s’assurer qu’elles remplissent toutes les exigences mentionnées dans l’appel d’offres.</w:t>
      </w:r>
    </w:p>
    <w:p>
      <w:r>
        <w:t>La carence pouvant être imputée à la recourante, c’est bien de manière fautive que ladite attestation n’a pas été produite.</w:t>
      </w:r>
    </w:p>
    <w:p>
      <w:r>
        <w:rPr>
          <w:b/>
        </w:rPr>
        <w:t>E. 6</w:t>
      </w:r>
    </w:p>
    <w:p>
      <w:r>
        <w:t>La décision d'exclusion attaquée est ainsi conforme au droit, et le recours sera rejeté.</w:t>
      </w:r>
    </w:p>
    <w:p>
      <w:r>
        <w:rPr>
          <w:b/>
        </w:rPr>
        <w:t>E. 7</w:t>
      </w:r>
    </w:p>
    <w:p>
      <w:r>
        <w:t>Vu l'issue du litige, un émolument de CHF 500.- sera mis à charge de la recourante, qui succombe (art. 87 al. 1 LPA), et aucune indemnité de procédure ne sera allouée, la collectivité intimée disposant de son propre service juridique (art. 87 al. 2 LPA).</w:t>
      </w:r>
    </w:p>
    <w:p>
      <w:r>
        <w:t>* * * * *</w:t>
      </w:r>
    </w:p>
    <w:p>
      <w:r>
        <w:t>- 6/7 - A/533/2016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