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ATA/895/2015 vom 1. September 2015</w:t>
      </w:r>
    </w:p>
    <w:p>
      <w:r>
        <w:t>GE Cour de justice, 2015-09-01, FR</w:t>
      </w:r>
    </w:p>
    <w:p>
      <w:r>
        <w:rPr>
          <w:b/>
        </w:rPr>
        <w:t xml:space="preserve">Quelle: </w:t>
      </w:r>
      <w:r>
        <w:t>https://mcp.opencaselaw.ch/entscheid/ge_gerichte_ATA_895_2015</w:t>
      </w:r>
    </w:p>
    <w:p>
      <w:r>
        <w:t>FR: GE_GERICHTE ATA/895/2015 du 1 septembre 2015</w:t>
      </w:r>
    </w:p>
    <w:p>
      <w:r>
        <w:t>IT: GE_GERICHTE ATA/895/2015 del 1 settembre 2015</w:t>
      </w:r>
    </w:p>
    <w:p>
      <w:pPr>
        <w:pStyle w:val="Heading2"/>
      </w:pPr>
      <w:r>
        <w:t>Erwägungen</w:t>
      </w:r>
    </w:p>
    <w:p>
      <w:r>
        <w:rPr>
          <w:b/>
        </w:rPr>
        <w:t>E. 12</w:t>
      </w:r>
    </w:p>
    <w:p>
      <w:r>
        <w:t>septembre 1985 - LPA - E 5 10). 2)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b. L’aide sociale est soumise au principe de subsidiarité, lequel est rappelé par l’art. 12 Cst. La personne dans le besoin doit avoir épuisé les possibilités d’auto- prise en charge, les engagements de tiers et les prestations volontaires de tiers (ATA/343/2014 du 13 mai 2014 ; ATA/452/2012 du 30 juillet 2012 ; Félix WOLFFERS, Fondement du droit de l’aide sociale, 1995, p. 77). 3) a. Dans le canton de Genève, l'art. 12 Cst. a trouvé une concrétisation dans la loi sur l'insertion et l'aide sociale individuelle du 22 mars 2007 (LIASI - J 4 04), dont le but de prévenir l’exclusion sociale et d’aider les personnes qui en souffrent à se réinsérer dans un environnement social et professionnel (art. 1 al. 1 LIASI), ainsi que de soutenir les efforts des bénéficiaires de la loi à se réinsérer sur le</w:t>
      </w:r>
    </w:p>
    <w:p>
      <w:r>
        <w:t>- 5/7 - A/3736/2014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b. Selon l’art. 21 al. 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25 juillet 2007 (RIASI – J 4 04.01). La fortune au 31 décembre de l’année précédant celle pour laquelle la prestation est demandée est déterminante ; toutefois, en cas de modification notable de la fortune du bénéficiaire, la prestation est fixée conformément à la situation nouvelle (art. 27 al. 1 et 2 LIASI).</w:t>
      </w:r>
    </w:p>
    <w:p>
      <w:r>
        <w:t>c. À teneur de l'art. 1 al. 1 RIASI, les limites de fortune permettant de bénéficier des prestations d’aide financière sont de CHF 4'000.- pour une personne seule majeure (let. a), CHF 8'000.- pour un couple (let. b) et CHF 2'000.- pour chaque enfant à charge (let. c). Le total de la fortune ne peut en aucun cas dépasser CHF 10'000.- pour l’ensemble du groupe familial (art. 1 al. 2 RIASI). 4) a.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tant en Suisse qu'à l'étranger.</w:t>
      </w:r>
    </w:p>
    <w:p>
      <w:r>
        <w:t>b.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5)</w:t>
      </w:r>
    </w:p>
    <w:p>
      <w:r>
        <w:t>En l’espèce, les principes exposés ci-dessus ont été strictement appliqués par l’autorité intimée. Le recourant ne conteste pas que, aux mois de juin et de juillet 2014, sa fortune, en tenant compte du véhicule Nissan X-Trail, dépassait CHF 10'000.-, soit le maximum permettant de percevoir des prestations d’aide sociale.</w:t>
      </w:r>
    </w:p>
    <w:p>
      <w:r>
        <w:t>- 6/7 - A/3736/2014</w:t>
      </w:r>
    </w:p>
    <w:p>
      <w:r>
        <w:t>Les explications données par M. A______ au sujet de la propriété du véhicule en question n’emportent pas la conviction. Il n’est en effet guère compréhensible que M. E______ ait un quelconque intérêt à immatriculer le véhicule qu’il avait acheté en plaques interchangeables au nom d’un tiers, dès lors que cela impliquait que les deux véhicules ne pouvaient circuler et être sur la voie publique en même temps. De plus, la chambre administrative a largement donné la possibilité au recourant d’asseoir les explications qu’il exposait, sans succès : l’intéressé n’a pas communiqué l’identité du témoin qui aurait pu confirmer ses explications.</w:t>
      </w:r>
    </w:p>
    <w:p>
      <w:r>
        <w:t>De plus, le recourant n’a pas repris devant la chambre administrative les explications qu’il a esquissées au cours de la procédure d’opposition concernant les dettes qu’il aurait envers son père. 6)</w:t>
      </w:r>
    </w:p>
    <w:p>
      <w:r>
        <w:t>Au vu de ce qui précède, le recours sera rejeté. Compte tenu de la nature et de l'issue du litige, il ne sera pas perçu d'émolument (art. 87 al. 1 LPA et art. 11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