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ATA/892/2020 vom 15. September 2020</w:t>
      </w:r>
    </w:p>
    <w:p>
      <w:r>
        <w:t>GE Cour de justice, 2020-09-15, FR</w:t>
      </w:r>
    </w:p>
    <w:p>
      <w:r>
        <w:rPr>
          <w:b/>
        </w:rPr>
        <w:t xml:space="preserve">Quelle: </w:t>
      </w:r>
      <w:r>
        <w:t>https://mcp.opencaselaw.ch/entscheid/ge_gerichte_ATA_892_2020</w:t>
      </w:r>
    </w:p>
    <w:p>
      <w:r>
        <w:t>FR: GE_GERICHTE ATA/892/2020 du 15 septembre 2020</w:t>
      </w:r>
    </w:p>
    <w:p>
      <w:r>
        <w:t>IT: GE_GERICHTE ATA/892/2020 del 15 settembre 2020</w:t>
      </w:r>
    </w:p>
    <w:p>
      <w:pPr>
        <w:pStyle w:val="Heading2"/>
      </w:pPr>
      <w:r>
        <w:t>Erwägungen</w:t>
      </w:r>
    </w:p>
    <w:p>
      <w:r>
        <w:rPr>
          <w:b/>
        </w:rPr>
        <w:t>E. 12</w:t>
      </w:r>
    </w:p>
    <w:p>
      <w:r>
        <w:t>septembre 1985 - LPA - E 5 10). 2)</w:t>
      </w:r>
    </w:p>
    <w:p>
      <w:r>
        <w:t>Le recourant sollicite, au préalable, la comparution personnelle des parties ainsi que l’audition du Dr. B______.</w:t>
      </w:r>
    </w:p>
    <w:p>
      <w:r>
        <w:t>a. Le droit d'être entendu, garanti par les art. 29 al. 2 de la Constitution fédérale de la Confédération suisse du 18 avril 1999 (Cst. - RS 101) et 41 LPA,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Le droit d'être entendu ne comprend pas le droit d'être entendu oralement (ATF 134 I 140 consid. 5.3 ; arrêt du Tribunal fédéral 1C_551/2015 du 22 mars 2016 consid. 2.2), ni celui d'obtenir l'audition de témoins (ATF 130 II 425 consid. 2.1).</w:t>
      </w:r>
    </w:p>
    <w:p>
      <w:r>
        <w:t>c. En l'espèce, le recourant a pu se prononcer par écrit tant devant l'autorité intimée que devant la chambre de céans, et il n'explique pas en quoi son audition permettrait d'apporter un quelconque élément décisif supplémentaire par rapport à des pièces ou des observations écrites. Le Dr. B______ a quant à lui été délié du secret médical et il a produit deux certificats détaillés, qui figurent à la procédure et sur lesquels les parties ont pu se prononcer. La chambre de céans dispose ainsi d'un dossier complet lui permettant de trancher le litige en toute connaissance de cause, et il ne sera pas donné suite à la demande de comparution personnelle des parties et d’audition de témoin. 3)</w:t>
      </w:r>
    </w:p>
    <w:p>
      <w:r>
        <w:t>Le litige porte sur le bien-fondé de la décision de l’ECAV du 25 septembre 2019 constatant l’échec du recourant à la session d’examens de septembre 2019 et prononçant son élimination de l’ECAV.</w:t>
      </w:r>
    </w:p>
    <w:p>
      <w:r>
        <w:t>- 7/13 - A/1341/2020 4) a. Pour obtenir le brevet d’avocat, il faut remplir les conditions cumulatives énumérées à l’art. 24 de la loi sur la profession d’avocat du 26 avril 2002 (LPAv - E 6 10), notamment avoir effectué une formation approfondie à la profession d’avocat validée par un examen (let. b). La formation approfondie comporte un enseignement dans les domaines procéduraux et la pratique du droit (art. 30 al. 1 LPAv). Cette formation est d’une durée d’un semestre universitaire et validée par un examen approfondi, comportant des épreuves écrites et orales ; toutes les épreuves doivent être présentées lors de la session qui suit immédiatement la fin des enseignements (art. 30 al. 2 LPAv). Le candidat à l’examen approfondi peut se représenter une fois en cas d’échec, lors de la session suivant immédiatement la première tentative (art. 30 al. 3 LPAv). La formation approfondie et l’examen y relatif sont organisés par l’ECAV (art. 30A al. 1 LPAv). L’organisation de l’ECAV et les modalités d’examen sont fixées par le RPAv (art. 30A al. 5 LPAv).</w:t>
      </w:r>
    </w:p>
    <w:p>
      <w:r>
        <w:t>La formation approfondie se déroule sur un semestre, une fois par année académique (art. 23 al. 1 RPAv). Le plan d’études comprend des cours et des ateliers ou des conférences sur : les règles de procédure civile, pénale et administrative (let. a), les juridictions fédérales (let. b), la profession d’avocat (let. c). L’examen validant la formation approfondie (examen approfondi) comprend des épreuves écrites et orales portant sur les enseignements de l’ECAV (art. 24 al. 1 RPAv). Toutes les épreuves doivent être présentées lors de la session qui suit immédiatement la fin des enseignements conformément au règlement d’études (art. 24 al. 2 RPAv). En cas d’échec, le candidat à l’examen approfondi peut se représenter une fois, lors de la session suivant immédiatement la première tentative (art. 24 al. 3 RPAv). Les modalités et conditions de réussite de l’examen approfondi sont fixées dans le règlement d’études (art. 24 al. 5 RPAv).</w:t>
      </w:r>
    </w:p>
    <w:p>
      <w:r>
        <w:t>Selon l’art. 7 du règlement d’études de l’ECAV, entré en vigueur le 21 février 2011 (ci-après : RE), le certificat de spécialisation en matière d’avocature est délivré par l’Université de Genève, sur proposition du conseil de direction, lorsque les conditions visées à l’art. 6 RE sont réalisées. L’art. 6 RE règle les examens et les modalités de réussite. Sous peine d’élimination, les étudiants doivent présenter la série au cours des deux sessions qui suivent immédiatement le semestre d’études, soit, au semestre de printemps, les sessions de mai-juin et d’août-septembre (art. 6 al. 1 phr. 2 RE). Les examens portent, dans les matières suivantes, sur les connaissances acquises à la fois lors des cours et des ateliers : un examen écrit de procédure, avec un coefficient de 3 ; un examen écrit de juridictions fédérales, avec un coefficient de 2 ; un examen écrit de profession d’avocat, avec un coefficient de 2 ; un examen oral d’expression orale, avec un coefficient de 1 ; un examen oral portant sur les ateliers autres que celui d’expression orale, avec un coefficient de 2 (art. 6 al. 2 RE). À teneur de l’art. 6 al. 4 RE, les notes sont attribuées sur une échelle de 0 à 6, 6 étant la meilleure note ; les notes des examens sont arrondies au quart. La série est réussie si le candidat obtient une moyenne égale ou supérieure à 4, pour autant qu’il n’y ait pas</w:t>
      </w:r>
    </w:p>
    <w:p>
      <w:r>
        <w:t>- 8/13 - A/1341/2020 plus de deux notes inférieures à 4 et qu’aucune note ne soit égale ou inférieure à 2. L’art. 6 al. 5 RE prévoit que la série peut être présentée au maximum deux fois ; en cas d’échec à la série présentée pour la première fois, les notes égales ou supérieures à 5 sont acquises et définitives. Selon l’art. 9 al. 1 let. a RE, le conseil de direction prononce l’élimination du programme dudit certificat des étudiants qui subissent un échec définitif à l’évaluation conformément à l’art. 6 RE.</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(ATA/476/2016 du 7 juin 2016 consid. 5b ; ATA/1220/2015 du 10 novembre 2015 consid. 4 et les références citées). La chambre administrative n’est pas compétente pour apprécier l’opportunité, son pouvoir d’examen étant limité aux questions de droit et de fait (art. 61 al. 1 et 2 LPA).</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 2C_180/2013 du 5 novembre 2013 consid. 8.1).</w:t>
      </w:r>
    </w:p>
    <w:p>
      <w:r>
        <w:t>b. En l’espèce, le recourant reprochait initialement à l’intimée, dans son opposition du 25 octobre 2019, une appréciation arbitraire de ses examens de septembre 2019, et énumérait les défauts des évaluations des différents examens.</w:t>
      </w:r>
    </w:p>
    <w:p>
      <w:r>
        <w:t>Dans une écriture complémentaire du 3 janvier 2020, il a indiqué « modifier [s]es conclusions » et demandé à être autorisé à repasser ses examens en raison de son état de santé.</w:t>
      </w:r>
    </w:p>
    <w:p>
      <w:r>
        <w:t>- 9/13 - A/1341/2020</w:t>
      </w:r>
    </w:p>
    <w:p>
      <w:r>
        <w:t>La décision sur opposition du 4 mars 2020 a écarté les griefs ayant trait à l’évaluation arbitraire des examens de la session d’examen de septembre 2019, ainsi que ceux relatifs à l’état de santé.</w:t>
      </w:r>
    </w:p>
    <w:p>
      <w:r>
        <w:t>Les griefs au sujet de l’évaluation n’ont pas été repris dans le recours du 11 mai 2020, ni dans la réplique du 13 juillet 2020. Le recours n’est fondé que sur l’état de santé du recourant au moment des examens.</w:t>
      </w:r>
    </w:p>
    <w:p>
      <w:r>
        <w:t>Il n’y a donc pas lieu de les examiner. 5)</w:t>
      </w:r>
    </w:p>
    <w:p>
      <w:r>
        <w:t>Le recourant reproche à la décision attaquée de na pas avoir pris en compte sa situation exceptionnelle, soit le fait qu’il était affecté d’une grave dépression et partant incapable de présenter ses examens.</w:t>
      </w:r>
    </w:p>
    <w:p>
      <w:r>
        <w:t>a.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ATA/1751/2019 du 3 décembre 2019 consid. 5b et les références citées).</w:t>
      </w:r>
    </w:p>
    <w:p>
      <w:r>
        <w:t>D’après la jurisprudence, un motif d’empêchement ne peut, en principe, être invoqué par le candidat qu’avant ou pendant l’examen (arrêt du TAF B-6593/2013 du 7 août 2014 consid. 4.2 ; ATA/443/2015 du 12 mai 2015 consid. 5c et les références citées). La production ultérieure d’un certificat médical ne peut remettre en cause le résultat obtenu lors d’un examen. Il est en effet difficile de concevoir un système d’examens efficace si des certificats médicaux produits après l’examen peuvent annuler une épreuve passée.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TAF B-6593/2013 précité consid. 4.2 ; ATA/443/2015 précité). Il s'ensuit qu'en cas d'annonce tardive du motif d'empêchement, l'examen (insuffisant) est en général réputé non réussi (arrêt du TAF B-6593/2013 précité consid. 4.2).</w:t>
      </w:r>
    </w:p>
    <w:p>
      <w:r>
        <w:t>Des exceptions au principe évoqué ci-dessus permettant de prendre en compte un certificat médical présenté après que l'examen a été passé ne peuvent</w:t>
      </w:r>
    </w:p>
    <w:p>
      <w:r>
        <w:t>- 10/13 - A/1341/2020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ATA/1242/2017 du 29 août 2017).</w:t>
      </w:r>
    </w:p>
    <w:p>
      <w:r>
        <w:t>b. En l’espèce, le recourant n’a invoqué aucun motif d’empêchement avant ou durant la session d’examens de septembre 2019.</w:t>
      </w:r>
    </w:p>
    <w:p>
      <w:r>
        <w:t>Dans la mesure où il se prévaut du fait que son état de santé l’aurait empêché de réussir sa session d’examens, il faut examiner si les conditions posées par la jurisprudence à l’établissement tardif d’une incapacité sont réunies.</w:t>
      </w:r>
    </w:p>
    <w:p>
      <w:r>
        <w:t>Le recourant indique lui-même dans son recours du 12 mai 2020 être « retombé dans une phase de dépression majeure depuis le début de l’année 2019 » (p. 7 § 27), et être suivi par un psychiatre « pour des problèmes d’angoisses et de dépressions majeures fluctuants entre intensité moyenne à sévère développés vers [s]es 20 ans » (ibid, p 9 § 37). La condition de la survenance de la maladie lors de l’examen, et sans symptômes antérieurs, fait ainsi défaut.</w:t>
      </w:r>
    </w:p>
    <w:p>
      <w:r>
        <w:t>Le recourant n’allègue pas avoir consulté son psychiatre aussitôt après les examens. Le premier certificat qu’il a produit date du 10 décembre 2019, le second du 11 mai 2020. Le certificat du 10 décembre 2019 indique que le recourant est suivi depuis 2015, et qu’il n’a pas « suivi [l]es recommandations » de son médecin. Il en résulte que les conditions de la consultation immédiate après l’examen et de la visibilité de l’état de santé durant l’examen ne sont pas non plus réalisées.</w:t>
      </w:r>
    </w:p>
    <w:p>
      <w:r>
        <w:t>Enfin, les deux certificats médicaux n’établissent pas de lien clair et univoque entre l’état de santé du recourant et l’échec à la session d’examens de septembre 2019, mais évoquent des épisodes dépressifs altérant la capacité d’introspection et de conscience de l’état, ainsi qu’une « variabilité émotionnelle importante imprévisible avec moments d’incapacité de gestion émotionnelle et un débordement émotionnel provoquant une désorganisation de la pensée principalement lors de stress (spécifique lors de tests de performance par exemple) ».</w:t>
      </w:r>
    </w:p>
    <w:p>
      <w:r>
        <w:t>- 11/13 - A/1341/2020</w:t>
      </w:r>
    </w:p>
    <w:p>
      <w:r>
        <w:t>C’est le lieu d’observer que le recourant a, nonobstant son état de santé, pu préparer et commander durant l’été 2019, soit entre les deux sessions d’examens, un cours de répétition de près d’un mois en qualité de commandant de compagnie, ce qui lui a demandé selon lui un très grand investissement, et qu’il a entamé son stage d’avocat après la session d’examens de septembre 2019. Ces deux activités, qui réclament un engagement et une maîtrise de soi élevés, ne confirment à tout le moins pas que le recourant n’aurait pas été en état de présenter des examens en septembre 2019.</w:t>
      </w:r>
    </w:p>
    <w:p>
      <w:r>
        <w:t>C’est ainsi sans excès ni abus de son pouvoir d’appréciation que l’intimée a conclu qu’aucun motif d’empêchement dû à une situation exceptionnelle était réalisé en l’espèce. 6)</w:t>
      </w:r>
    </w:p>
    <w:p>
      <w:r>
        <w:t>Le recourant se plaint enfin d’une inégalité de traitement, pour n’avoir pas bénéficié d’une troisième tentative comme les étudiants de la volée 2020 de l’ECAV.</w:t>
      </w:r>
    </w:p>
    <w:p>
      <w:r>
        <w:t>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w:t>
      </w:r>
    </w:p>
    <w:p>
      <w:r>
        <w:t>b. En l’espèce, la possibilité octroyée aux étudiants de la volée 2020 de l’ECAV de présenter leurs examens une troisième fois est fondée sur l’effet des mesures publiques de prévention de la pandémie sur leur cursus scolaire, et notamment sur l’accès aux cours et aux centres de documentation, restreint durant le printemps 2020.</w:t>
      </w:r>
    </w:p>
    <w:p>
      <w:r>
        <w:t>Le recourant ne saurait donc de prévaloir de cette situation, très différente de la sienne, et ce grief sera écarté.</w:t>
      </w:r>
    </w:p>
    <w:p>
      <w:r>
        <w:t>Entièrement mal fondé, le recours sera rejeté. 7)</w:t>
      </w:r>
    </w:p>
    <w:p>
      <w:r>
        <w:t>Vu l’issue du litige, un émolument de CHF 550.- sera mis à la charge du recourant (art. 87 al. 1 LPA), et aucune indemnité de procédure ne sera allouée (art. 87 al. 2 LPA). * * * * *</w:t>
      </w:r>
    </w:p>
    <w:p>
      <w:r>
        <w:t>- 12/13 - A/1341/2020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